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C97" w:rsidRDefault="00812C97" w:rsidP="000D0EA0">
      <w:pPr>
        <w:spacing w:after="80" w:line="240" w:lineRule="auto"/>
        <w:jc w:val="both"/>
        <w:rPr>
          <w:rFonts w:cstheme="minorHAnsi"/>
          <w:b/>
          <w:bCs/>
          <w:i/>
          <w:color w:val="982D9B"/>
          <w:sz w:val="26"/>
          <w:szCs w:val="26"/>
        </w:rPr>
      </w:pPr>
    </w:p>
    <w:p w:rsidR="00812C97" w:rsidRDefault="00812C97" w:rsidP="000D0EA0">
      <w:pPr>
        <w:spacing w:after="80" w:line="240" w:lineRule="auto"/>
        <w:jc w:val="both"/>
        <w:rPr>
          <w:rFonts w:cstheme="minorHAnsi"/>
          <w:b/>
          <w:bCs/>
          <w:i/>
          <w:color w:val="982D9B"/>
          <w:sz w:val="26"/>
          <w:szCs w:val="26"/>
        </w:rPr>
      </w:pPr>
    </w:p>
    <w:p w:rsidR="00812C97" w:rsidRDefault="00812C97" w:rsidP="000D0EA0">
      <w:pPr>
        <w:spacing w:after="80" w:line="240" w:lineRule="auto"/>
        <w:jc w:val="both"/>
        <w:rPr>
          <w:rFonts w:cstheme="minorHAnsi"/>
          <w:b/>
          <w:bCs/>
          <w:i/>
          <w:color w:val="982D9B"/>
          <w:sz w:val="26"/>
          <w:szCs w:val="26"/>
        </w:rPr>
      </w:pPr>
    </w:p>
    <w:p w:rsidR="000D0EA0" w:rsidRPr="000D0EA0" w:rsidRDefault="00812C97" w:rsidP="000D0EA0">
      <w:pPr>
        <w:spacing w:after="80" w:line="240" w:lineRule="auto"/>
        <w:jc w:val="both"/>
        <w:rPr>
          <w:rFonts w:cstheme="minorHAnsi"/>
          <w:b/>
          <w:bCs/>
          <w:i/>
          <w:color w:val="982D9B"/>
          <w:sz w:val="26"/>
          <w:szCs w:val="26"/>
        </w:rPr>
      </w:pPr>
      <w:r w:rsidRPr="007F5C48">
        <w:rPr>
          <w:rFonts w:ascii="Tahoma" w:hAnsi="Tahoma" w:cs="Tahoma"/>
          <w:noProof/>
          <w:lang w:eastAsia="tr-TR"/>
        </w:rPr>
        <w:drawing>
          <wp:anchor distT="0" distB="0" distL="114300" distR="114300" simplePos="0" relativeHeight="251659264" behindDoc="0" locked="0" layoutInCell="1" allowOverlap="1" wp14:anchorId="2CED660B" wp14:editId="2A70805A">
            <wp:simplePos x="0" y="0"/>
            <wp:positionH relativeFrom="margin">
              <wp:posOffset>-457200</wp:posOffset>
            </wp:positionH>
            <wp:positionV relativeFrom="page">
              <wp:posOffset>353695</wp:posOffset>
            </wp:positionV>
            <wp:extent cx="1416050" cy="931545"/>
            <wp:effectExtent l="0" t="0" r="0" b="1905"/>
            <wp:wrapSquare wrapText="bothSides"/>
            <wp:docPr id="2" name="Resim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witter-kapak.jpg"/>
                    <pic:cNvPicPr/>
                  </pic:nvPicPr>
                  <pic:blipFill rotWithShape="1">
                    <a:blip r:embed="rId6" cstate="print">
                      <a:extLst>
                        <a:ext uri="{28A0092B-C50C-407E-A947-70E740481C1C}">
                          <a14:useLocalDpi xmlns:a14="http://schemas.microsoft.com/office/drawing/2010/main" val="0"/>
                        </a:ext>
                      </a:extLst>
                    </a:blip>
                    <a:srcRect l="31609" t="6903" r="31003" b="19268"/>
                    <a:stretch/>
                  </pic:blipFill>
                  <pic:spPr bwMode="auto">
                    <a:xfrm>
                      <a:off x="0" y="0"/>
                      <a:ext cx="1416050" cy="931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0EA0" w:rsidRPr="000D0EA0">
        <w:rPr>
          <w:rFonts w:cstheme="minorHAnsi"/>
          <w:b/>
          <w:bCs/>
          <w:i/>
          <w:color w:val="982D9B"/>
          <w:sz w:val="26"/>
          <w:szCs w:val="26"/>
        </w:rPr>
        <w:t>Avru</w:t>
      </w:r>
      <w:r w:rsidR="000D0EA0">
        <w:rPr>
          <w:rFonts w:cstheme="minorHAnsi"/>
          <w:b/>
          <w:bCs/>
          <w:i/>
          <w:color w:val="982D9B"/>
          <w:sz w:val="26"/>
          <w:szCs w:val="26"/>
        </w:rPr>
        <w:t xml:space="preserve">pa Konseyi Eşitlik Komitesi, İstanbul Sözleşmesi </w:t>
      </w:r>
    </w:p>
    <w:p w:rsidR="000D0EA0" w:rsidRPr="000D0EA0" w:rsidRDefault="000D0EA0" w:rsidP="000D0EA0">
      <w:pPr>
        <w:spacing w:after="80" w:line="240" w:lineRule="auto"/>
        <w:jc w:val="both"/>
        <w:rPr>
          <w:rFonts w:cstheme="minorHAnsi"/>
          <w:b/>
          <w:bCs/>
          <w:i/>
          <w:color w:val="982D9B"/>
          <w:sz w:val="26"/>
          <w:szCs w:val="26"/>
        </w:rPr>
      </w:pPr>
      <w:proofErr w:type="gramStart"/>
      <w:r w:rsidRPr="000D0EA0">
        <w:rPr>
          <w:rFonts w:cstheme="minorHAnsi"/>
          <w:b/>
          <w:bCs/>
          <w:i/>
          <w:color w:val="982D9B"/>
          <w:sz w:val="26"/>
          <w:szCs w:val="26"/>
        </w:rPr>
        <w:t>Açıklama</w:t>
      </w:r>
      <w:r>
        <w:rPr>
          <w:rFonts w:cstheme="minorHAnsi"/>
          <w:b/>
          <w:bCs/>
          <w:i/>
          <w:color w:val="982D9B"/>
          <w:sz w:val="26"/>
          <w:szCs w:val="26"/>
        </w:rPr>
        <w:t>sı tam metni.</w:t>
      </w:r>
      <w:proofErr w:type="gramEnd"/>
    </w:p>
    <w:p w:rsidR="000D0EA0" w:rsidRPr="00AA1AC6" w:rsidRDefault="000D0EA0" w:rsidP="000D0EA0">
      <w:pPr>
        <w:spacing w:after="80" w:line="240" w:lineRule="auto"/>
        <w:jc w:val="both"/>
        <w:rPr>
          <w:rFonts w:cstheme="minorHAnsi"/>
          <w:b/>
          <w:bCs/>
          <w:color w:val="982D9B"/>
          <w:sz w:val="26"/>
          <w:szCs w:val="26"/>
        </w:rPr>
      </w:pPr>
    </w:p>
    <w:p w:rsidR="00505549" w:rsidRPr="00505549" w:rsidRDefault="00505549" w:rsidP="00505549">
      <w:pPr>
        <w:spacing w:after="80" w:line="240" w:lineRule="auto"/>
        <w:jc w:val="both"/>
        <w:rPr>
          <w:rFonts w:cstheme="minorHAnsi"/>
          <w:b/>
          <w:bCs/>
        </w:rPr>
      </w:pPr>
      <w:r w:rsidRPr="00505549">
        <w:rPr>
          <w:rFonts w:cstheme="minorHAnsi"/>
          <w:b/>
          <w:bCs/>
        </w:rPr>
        <w:t>Eşitlik Komitesi İstanbul Sözleşmesi’ne Desteğini Yineliyor</w:t>
      </w:r>
    </w:p>
    <w:p w:rsidR="00505549" w:rsidRPr="00505549" w:rsidRDefault="00505549" w:rsidP="00505549">
      <w:pPr>
        <w:spacing w:after="80" w:line="240" w:lineRule="auto"/>
        <w:jc w:val="both"/>
        <w:rPr>
          <w:rFonts w:cstheme="minorHAnsi"/>
          <w:b/>
          <w:bCs/>
        </w:rPr>
      </w:pPr>
    </w:p>
    <w:p w:rsidR="00505549" w:rsidRPr="00505549" w:rsidRDefault="00505549" w:rsidP="00505549">
      <w:pPr>
        <w:spacing w:after="80" w:line="240" w:lineRule="auto"/>
        <w:jc w:val="both"/>
        <w:rPr>
          <w:rFonts w:cstheme="minorHAnsi"/>
          <w:b/>
          <w:bCs/>
        </w:rPr>
      </w:pPr>
      <w:r w:rsidRPr="00505549">
        <w:rPr>
          <w:rFonts w:cstheme="minorHAnsi"/>
          <w:b/>
          <w:bCs/>
        </w:rPr>
        <w:t>11 Eylül 2020 tarihinde video konferansla bir araya gelen Eşitlik ve Ayrımcılıkla Mücadele Komitesi (</w:t>
      </w:r>
      <w:proofErr w:type="spellStart"/>
      <w:r w:rsidRPr="00505549">
        <w:rPr>
          <w:rFonts w:cstheme="minorHAnsi"/>
          <w:b/>
          <w:bCs/>
        </w:rPr>
        <w:t>Committee</w:t>
      </w:r>
      <w:proofErr w:type="spellEnd"/>
      <w:r w:rsidRPr="00505549">
        <w:rPr>
          <w:rFonts w:cstheme="minorHAnsi"/>
          <w:b/>
          <w:bCs/>
        </w:rPr>
        <w:t xml:space="preserve"> on </w:t>
      </w:r>
      <w:proofErr w:type="spellStart"/>
      <w:r w:rsidRPr="00505549">
        <w:rPr>
          <w:rFonts w:cstheme="minorHAnsi"/>
          <w:b/>
          <w:bCs/>
        </w:rPr>
        <w:t>Equality</w:t>
      </w:r>
      <w:proofErr w:type="spellEnd"/>
      <w:r w:rsidRPr="00505549">
        <w:rPr>
          <w:rFonts w:cstheme="minorHAnsi"/>
          <w:b/>
          <w:bCs/>
        </w:rPr>
        <w:t xml:space="preserve"> </w:t>
      </w:r>
      <w:proofErr w:type="spellStart"/>
      <w:r w:rsidRPr="00505549">
        <w:rPr>
          <w:rFonts w:cstheme="minorHAnsi"/>
          <w:b/>
          <w:bCs/>
        </w:rPr>
        <w:t>and</w:t>
      </w:r>
      <w:proofErr w:type="spellEnd"/>
      <w:r w:rsidRPr="00505549">
        <w:rPr>
          <w:rFonts w:cstheme="minorHAnsi"/>
          <w:b/>
          <w:bCs/>
        </w:rPr>
        <w:t xml:space="preserve"> </w:t>
      </w:r>
      <w:proofErr w:type="spellStart"/>
      <w:r w:rsidRPr="00505549">
        <w:rPr>
          <w:rFonts w:cstheme="minorHAnsi"/>
          <w:b/>
          <w:bCs/>
        </w:rPr>
        <w:t>Non-Discrimination</w:t>
      </w:r>
      <w:proofErr w:type="spellEnd"/>
      <w:r w:rsidRPr="00505549">
        <w:rPr>
          <w:rFonts w:cstheme="minorHAnsi"/>
          <w:b/>
          <w:bCs/>
        </w:rPr>
        <w:t xml:space="preserve">) aşağıdaki açıklama metnini kabul ederek İstanbul Sözleşmesi’ne desteğini yinelemiştir: </w:t>
      </w:r>
    </w:p>
    <w:p w:rsidR="00505549" w:rsidRPr="00AA1AC6" w:rsidRDefault="00505549" w:rsidP="00505549">
      <w:pPr>
        <w:spacing w:after="80" w:line="240" w:lineRule="auto"/>
        <w:jc w:val="both"/>
        <w:rPr>
          <w:rFonts w:cstheme="minorHAnsi"/>
          <w:bCs/>
        </w:rPr>
      </w:pPr>
    </w:p>
    <w:p w:rsidR="00505549" w:rsidRPr="00AA1AC6" w:rsidRDefault="00505549" w:rsidP="00505549">
      <w:pPr>
        <w:spacing w:after="80" w:line="240" w:lineRule="auto"/>
        <w:jc w:val="both"/>
        <w:rPr>
          <w:rFonts w:cstheme="minorHAnsi"/>
          <w:bCs/>
        </w:rPr>
      </w:pPr>
      <w:r w:rsidRPr="00AA1AC6">
        <w:rPr>
          <w:rFonts w:cstheme="minorHAnsi"/>
          <w:bCs/>
        </w:rPr>
        <w:t xml:space="preserve">“Avrupa Konseyi’nin kadına yönelik şiddet ve aile içi şiddeti önleme ve bunlarla mücadele etmeye ilişkin, 34 üye devlet tarafından onaylanan ve Avrupa Birliği tarafından imzalanan İstanbul Sözleşmesi, tüm dünyada, kadının şiddetten korunması için en gelişmiş ve en kapsamlı uluslararası yasal standart olarak kabul edilmektedir.  </w:t>
      </w:r>
    </w:p>
    <w:p w:rsidR="00505549" w:rsidRPr="00AA1AC6" w:rsidRDefault="00505549" w:rsidP="00505549">
      <w:pPr>
        <w:spacing w:after="80" w:line="240" w:lineRule="auto"/>
        <w:jc w:val="both"/>
        <w:rPr>
          <w:rFonts w:cstheme="minorHAnsi"/>
          <w:bCs/>
        </w:rPr>
      </w:pPr>
    </w:p>
    <w:p w:rsidR="00505549" w:rsidRPr="00AA1AC6" w:rsidRDefault="00505549" w:rsidP="00505549">
      <w:pPr>
        <w:spacing w:after="80" w:line="240" w:lineRule="auto"/>
        <w:jc w:val="both"/>
        <w:rPr>
          <w:rFonts w:cstheme="minorHAnsi"/>
          <w:bCs/>
        </w:rPr>
      </w:pPr>
      <w:r w:rsidRPr="00AA1AC6">
        <w:rPr>
          <w:rFonts w:cstheme="minorHAnsi"/>
          <w:bCs/>
        </w:rPr>
        <w:t xml:space="preserve">Avrupa Konseyi Parlamenter Meclisi (PACE) Eşitlik ve Ayrımcılıkla Mücadele Komitesi, Sözleşme’nin yürürlüğe girdiği 2014 tarihinden bu yana geçen zamanda, her bireyin, özellikle kadınların şiddetten uzak yaşama haklarını destekleyen ve koruma altına alan yasal tedbirler ve diğer tedbirlerin hayata geçirilmesi konusunda önemli ölçüde gelişme kaydedilmesini memnuniyet ile karşılamıştır. </w:t>
      </w:r>
    </w:p>
    <w:p w:rsidR="00505549" w:rsidRPr="00AA1AC6" w:rsidRDefault="00505549" w:rsidP="00505549">
      <w:pPr>
        <w:spacing w:after="80" w:line="240" w:lineRule="auto"/>
        <w:jc w:val="both"/>
        <w:rPr>
          <w:rFonts w:cstheme="minorHAnsi"/>
          <w:bCs/>
        </w:rPr>
      </w:pPr>
    </w:p>
    <w:p w:rsidR="00505549" w:rsidRPr="00AA1AC6" w:rsidRDefault="00505549" w:rsidP="00505549">
      <w:pPr>
        <w:spacing w:after="80" w:line="240" w:lineRule="auto"/>
        <w:jc w:val="both"/>
        <w:rPr>
          <w:rFonts w:cstheme="minorHAnsi"/>
          <w:bCs/>
        </w:rPr>
      </w:pPr>
      <w:r w:rsidRPr="00AA1AC6">
        <w:rPr>
          <w:rFonts w:cstheme="minorHAnsi"/>
          <w:bCs/>
        </w:rPr>
        <w:t xml:space="preserve">Komite, son dönemde Polonya’daki ve Türkiye’deki politikacıların, İstanbul Sözleşmesi’nden </w:t>
      </w:r>
      <w:proofErr w:type="spellStart"/>
      <w:r w:rsidRPr="00AA1AC6">
        <w:rPr>
          <w:rFonts w:cstheme="minorHAnsi"/>
          <w:bCs/>
        </w:rPr>
        <w:t>çekilinmesi</w:t>
      </w:r>
      <w:proofErr w:type="spellEnd"/>
      <w:r w:rsidRPr="00AA1AC6">
        <w:rPr>
          <w:rFonts w:cstheme="minorHAnsi"/>
          <w:bCs/>
        </w:rPr>
        <w:t xml:space="preserve"> yönündeki istekleri ile diğer ülkeleri de kendi örneklerini izlemeye teşvik ettikleri manşete taşınan açıklamalarından üzüntü duymaktadır. Bu olumsuz tutumlar, Sözleşme’nin amaçlarının ve hükümlerinin kasıtlı bir biçimde yanlış tanımlanmasının sonucudur. </w:t>
      </w:r>
    </w:p>
    <w:p w:rsidR="00505549" w:rsidRPr="00AA1AC6" w:rsidRDefault="00505549" w:rsidP="00505549">
      <w:pPr>
        <w:spacing w:after="80" w:line="240" w:lineRule="auto"/>
        <w:jc w:val="both"/>
        <w:rPr>
          <w:rFonts w:cstheme="minorHAnsi"/>
          <w:bCs/>
        </w:rPr>
      </w:pPr>
    </w:p>
    <w:p w:rsidR="00505549" w:rsidRPr="00AA1AC6" w:rsidRDefault="00505549" w:rsidP="00505549">
      <w:pPr>
        <w:spacing w:after="80" w:line="240" w:lineRule="auto"/>
        <w:jc w:val="both"/>
        <w:rPr>
          <w:rFonts w:cstheme="minorHAnsi"/>
          <w:bCs/>
        </w:rPr>
      </w:pPr>
      <w:r w:rsidRPr="00AA1AC6">
        <w:rPr>
          <w:rFonts w:cstheme="minorHAnsi"/>
          <w:bCs/>
        </w:rPr>
        <w:t xml:space="preserve">İstanbul Sözleşmesi’nin hedefleri çok açıktır: şiddet riski altında olan kadınlar ve kız çocuklarının güvenliğini sağlamak, toplumsal cinsiyet eşitliğini teşvik etmek ve kadınlara yönelik ayrımcılığı ortadan kaldırmak. Tüm bunlar, </w:t>
      </w:r>
      <w:proofErr w:type="gramStart"/>
      <w:r w:rsidRPr="00AA1AC6">
        <w:rPr>
          <w:rFonts w:cstheme="minorHAnsi"/>
          <w:bCs/>
        </w:rPr>
        <w:t>halihazırda</w:t>
      </w:r>
      <w:proofErr w:type="gramEnd"/>
      <w:r w:rsidRPr="00AA1AC6">
        <w:rPr>
          <w:rFonts w:cstheme="minorHAnsi"/>
          <w:bCs/>
        </w:rPr>
        <w:t xml:space="preserve"> Avrupa İnsan Hakları Sözleşmesi ile de tanınan temel haklardır. Bu hedeflerin kasıtlı olarak çarpıtılması, “aile” kavramının yeniden tanımlamasına veya aile hayatını ya da aile yapısını düzenlemeye yönelik gizli bir ajanda olduğu iddiası; ataerkil yapıların korunmasına, savunulmasına ve güçlendirilmesine hizmet eden temelsiz iddialardan ibarettir. </w:t>
      </w:r>
    </w:p>
    <w:p w:rsidR="00505549" w:rsidRPr="00AA1AC6" w:rsidRDefault="00505549" w:rsidP="00505549">
      <w:pPr>
        <w:spacing w:after="80" w:line="240" w:lineRule="auto"/>
        <w:jc w:val="both"/>
        <w:rPr>
          <w:rFonts w:cstheme="minorHAnsi"/>
          <w:bCs/>
        </w:rPr>
      </w:pPr>
    </w:p>
    <w:p w:rsidR="00505549" w:rsidRPr="00AA1AC6" w:rsidRDefault="00505549" w:rsidP="00505549">
      <w:pPr>
        <w:spacing w:after="80" w:line="240" w:lineRule="auto"/>
        <w:jc w:val="both"/>
        <w:rPr>
          <w:rFonts w:cstheme="minorHAnsi"/>
          <w:bCs/>
        </w:rPr>
      </w:pPr>
      <w:r w:rsidRPr="00AA1AC6">
        <w:rPr>
          <w:rFonts w:cstheme="minorHAnsi"/>
          <w:bCs/>
        </w:rPr>
        <w:t xml:space="preserve">Avrupa’da </w:t>
      </w:r>
      <w:proofErr w:type="spellStart"/>
      <w:r w:rsidRPr="00AA1AC6">
        <w:rPr>
          <w:rFonts w:cstheme="minorHAnsi"/>
          <w:bCs/>
        </w:rPr>
        <w:t>Sözleşme’yi</w:t>
      </w:r>
      <w:proofErr w:type="spellEnd"/>
      <w:r w:rsidRPr="00AA1AC6">
        <w:rPr>
          <w:rFonts w:cstheme="minorHAnsi"/>
          <w:bCs/>
        </w:rPr>
        <w:t xml:space="preserve"> destekleyenlerin bu tehlikeli girişimlere karşı kitlesel protestoları, Sözleşme’nin Avrupa’da ve dünyada kadınların hayatı üzerinde ne derece olumlu bir etkiye sahip olduğunun ve sözleşmenin şiddeti önleme ve kadınları koruma çabaları noktasında ön saflarda yer alan sivil toplum ve hizmet sağlayıcılar için teşkil ettiği gerçek önemin işaretidir.  </w:t>
      </w:r>
    </w:p>
    <w:p w:rsidR="00505549" w:rsidRPr="00AA1AC6" w:rsidRDefault="00505549" w:rsidP="00505549">
      <w:pPr>
        <w:spacing w:after="80" w:line="240" w:lineRule="auto"/>
        <w:jc w:val="both"/>
        <w:rPr>
          <w:rFonts w:cstheme="minorHAnsi"/>
          <w:bCs/>
        </w:rPr>
      </w:pPr>
    </w:p>
    <w:p w:rsidR="00505549" w:rsidRPr="00AA1AC6" w:rsidRDefault="00505549" w:rsidP="00505549">
      <w:pPr>
        <w:spacing w:after="80" w:line="240" w:lineRule="auto"/>
        <w:jc w:val="both"/>
        <w:rPr>
          <w:rFonts w:cstheme="minorHAnsi"/>
          <w:bCs/>
        </w:rPr>
      </w:pPr>
      <w:r w:rsidRPr="00AA1AC6">
        <w:rPr>
          <w:rFonts w:cstheme="minorHAnsi"/>
          <w:bCs/>
        </w:rPr>
        <w:t xml:space="preserve">PACE Eşitlik ve Ayrımcılıkla Mücadele Komitesi, Kadına Yönelik Şiddetin Önlenmesine Dair İstanbul Sözleşmesi’ne ilişkin 2289 (2019) sayılı PACE kararını hatırlatarak, tüm hükümetlere, daha fazla eşitlik, kadınlara ve kız çocuklarına şiddete karşı daha iyi bir korunma sağlanması ve şiddetin önlenmesi için tedbirlerin genişletilmesi için </w:t>
      </w:r>
      <w:proofErr w:type="gramStart"/>
      <w:r w:rsidRPr="00AA1AC6">
        <w:rPr>
          <w:rFonts w:cstheme="minorHAnsi"/>
          <w:bCs/>
        </w:rPr>
        <w:t>yegane</w:t>
      </w:r>
      <w:proofErr w:type="gramEnd"/>
      <w:r w:rsidRPr="00AA1AC6">
        <w:rPr>
          <w:rFonts w:cstheme="minorHAnsi"/>
          <w:bCs/>
        </w:rPr>
        <w:t xml:space="preserve"> araç olarak uygulanmasının aktif bir biçimde desteklemeleri yönünde çağrıda bulunmaktadır. Komite, özellikle aşağıdaki konularda parlamenterlere çağrıda bulunur: </w:t>
      </w:r>
    </w:p>
    <w:p w:rsidR="00505549" w:rsidRPr="00AA1AC6" w:rsidRDefault="00505549" w:rsidP="00505549">
      <w:pPr>
        <w:spacing w:after="80" w:line="240" w:lineRule="auto"/>
        <w:jc w:val="both"/>
        <w:rPr>
          <w:rFonts w:cstheme="minorHAnsi"/>
          <w:bCs/>
        </w:rPr>
      </w:pPr>
    </w:p>
    <w:p w:rsidR="00505549" w:rsidRPr="00AA1AC6" w:rsidRDefault="00505549" w:rsidP="00505549">
      <w:pPr>
        <w:spacing w:after="80" w:line="240" w:lineRule="auto"/>
        <w:jc w:val="both"/>
        <w:rPr>
          <w:rFonts w:cstheme="minorHAnsi"/>
          <w:bCs/>
        </w:rPr>
      </w:pPr>
      <w:r w:rsidRPr="00AA1AC6">
        <w:rPr>
          <w:rFonts w:cstheme="minorHAnsi"/>
          <w:bCs/>
        </w:rPr>
        <w:t xml:space="preserve">- İstanbul Sözleşmesi’ni henüz onaylamayan üye veya üye olmayan devletlerin </w:t>
      </w:r>
      <w:proofErr w:type="spellStart"/>
      <w:r w:rsidRPr="00AA1AC6">
        <w:rPr>
          <w:rFonts w:cstheme="minorHAnsi"/>
          <w:bCs/>
        </w:rPr>
        <w:t>Sözleşme’yi</w:t>
      </w:r>
      <w:proofErr w:type="spellEnd"/>
      <w:r w:rsidRPr="00AA1AC6">
        <w:rPr>
          <w:rFonts w:cstheme="minorHAnsi"/>
          <w:bCs/>
        </w:rPr>
        <w:t xml:space="preserve"> imzalamalarını ve onaylamalarını aktif bir biçimde desteklemeleri;  </w:t>
      </w:r>
    </w:p>
    <w:p w:rsidR="00505549" w:rsidRPr="00AA1AC6" w:rsidRDefault="00505549" w:rsidP="00505549">
      <w:pPr>
        <w:spacing w:after="80" w:line="240" w:lineRule="auto"/>
        <w:jc w:val="both"/>
        <w:rPr>
          <w:rFonts w:cstheme="minorHAnsi"/>
          <w:bCs/>
        </w:rPr>
      </w:pPr>
      <w:r w:rsidRPr="00AA1AC6">
        <w:rPr>
          <w:rFonts w:cstheme="minorHAnsi"/>
          <w:bCs/>
        </w:rPr>
        <w:t xml:space="preserve">- </w:t>
      </w:r>
      <w:proofErr w:type="spellStart"/>
      <w:r w:rsidRPr="00AA1AC6">
        <w:rPr>
          <w:rFonts w:cstheme="minorHAnsi"/>
          <w:bCs/>
        </w:rPr>
        <w:t>Sözleşme’de</w:t>
      </w:r>
      <w:proofErr w:type="spellEnd"/>
      <w:r w:rsidRPr="00AA1AC6">
        <w:rPr>
          <w:rFonts w:cstheme="minorHAnsi"/>
          <w:bCs/>
        </w:rPr>
        <w:t xml:space="preserve"> yer alan insan hakları standartlarına karşı herhangi bir karşı duruşu reddetmeleri; </w:t>
      </w:r>
    </w:p>
    <w:p w:rsidR="00505549" w:rsidRPr="00AA1AC6" w:rsidRDefault="00505549" w:rsidP="00505549">
      <w:pPr>
        <w:spacing w:after="80" w:line="240" w:lineRule="auto"/>
        <w:jc w:val="both"/>
        <w:rPr>
          <w:rFonts w:cstheme="minorHAnsi"/>
          <w:bCs/>
        </w:rPr>
      </w:pPr>
      <w:r w:rsidRPr="00AA1AC6">
        <w:rPr>
          <w:rFonts w:cstheme="minorHAnsi"/>
          <w:bCs/>
        </w:rPr>
        <w:t xml:space="preserve">- </w:t>
      </w:r>
      <w:proofErr w:type="spellStart"/>
      <w:r w:rsidRPr="00AA1AC6">
        <w:rPr>
          <w:rFonts w:cstheme="minorHAnsi"/>
          <w:bCs/>
        </w:rPr>
        <w:t>Sözleşme’ye</w:t>
      </w:r>
      <w:proofErr w:type="spellEnd"/>
      <w:r w:rsidRPr="00AA1AC6">
        <w:rPr>
          <w:rFonts w:cstheme="minorHAnsi"/>
          <w:bCs/>
        </w:rPr>
        <w:t xml:space="preserve"> taraf üye devletlerde, sözleşmeye taraf devletler komitesinin denetleme organı olan Kadına Yönelik Şiddet ve Ev İçi Şiddete Karşı Uzman Eylem Grubu’nun (GREVIO) raporlarına dayanarak oluşturduğu tavsiyelerini uygulamaya yönelik çalışmaları; </w:t>
      </w:r>
    </w:p>
    <w:p w:rsidR="00505549" w:rsidRPr="00AA1AC6" w:rsidRDefault="00505549" w:rsidP="00505549">
      <w:pPr>
        <w:spacing w:after="80" w:line="240" w:lineRule="auto"/>
        <w:jc w:val="both"/>
        <w:rPr>
          <w:rFonts w:cstheme="minorHAnsi"/>
          <w:bCs/>
        </w:rPr>
      </w:pPr>
      <w:r w:rsidRPr="00AA1AC6">
        <w:rPr>
          <w:rFonts w:cstheme="minorHAnsi"/>
          <w:bCs/>
        </w:rPr>
        <w:t xml:space="preserve">- </w:t>
      </w:r>
      <w:proofErr w:type="spellStart"/>
      <w:r w:rsidRPr="00AA1AC6">
        <w:rPr>
          <w:rFonts w:cstheme="minorHAnsi"/>
          <w:bCs/>
        </w:rPr>
        <w:t>Sözleşme’ye</w:t>
      </w:r>
      <w:proofErr w:type="spellEnd"/>
      <w:r w:rsidRPr="00AA1AC6">
        <w:rPr>
          <w:rFonts w:cstheme="minorHAnsi"/>
          <w:bCs/>
        </w:rPr>
        <w:t xml:space="preserve"> karşı çıkılan taraf devletlerde, sözleşmenin, kadınların ve kız çocuklarının ve bir bütün olarak toplumun faydası için sürekli ve güçlendirilmiş bir biçimde uygulanmasını destekler nitelikte konuşmaları.</w:t>
      </w:r>
    </w:p>
    <w:p w:rsidR="00505549" w:rsidRPr="00AA1AC6" w:rsidRDefault="00505549" w:rsidP="00505549">
      <w:pPr>
        <w:spacing w:after="80" w:line="240" w:lineRule="auto"/>
        <w:jc w:val="both"/>
        <w:rPr>
          <w:rFonts w:cstheme="minorHAnsi"/>
          <w:bCs/>
        </w:rPr>
      </w:pPr>
    </w:p>
    <w:p w:rsidR="00505549" w:rsidRPr="00AA1AC6" w:rsidRDefault="00505549" w:rsidP="00505549">
      <w:pPr>
        <w:spacing w:after="80" w:line="240" w:lineRule="auto"/>
        <w:jc w:val="both"/>
        <w:rPr>
          <w:rFonts w:cstheme="minorHAnsi"/>
          <w:bCs/>
        </w:rPr>
      </w:pPr>
      <w:r w:rsidRPr="00AA1AC6">
        <w:rPr>
          <w:rFonts w:cstheme="minorHAnsi"/>
          <w:bCs/>
        </w:rPr>
        <w:t>Eşitlik ve Ayrımcılıkla Mücadele Komitesi, tüm üye devletlere, sivil topluma, bölgesel ve uluslararası örgütlere, 25 Kasım Kadına Yönelik Şiddete Karşı Uluslararası Mücadele Günü’nde İstanbul Sözleşmesi ve bu Sözleşme’nin kadına yönelik şiddete bir son verilmesinde oynadığı hayati role verdikleri desteği pekiştirecek etkinlikler düzenlemeleri için çağrıda bulunmaktadır.</w:t>
      </w:r>
    </w:p>
    <w:p w:rsidR="00505549" w:rsidRPr="00AA1AC6" w:rsidRDefault="00505549" w:rsidP="00505549">
      <w:pPr>
        <w:spacing w:after="80" w:line="240" w:lineRule="auto"/>
        <w:jc w:val="both"/>
        <w:rPr>
          <w:rFonts w:cstheme="minorHAnsi"/>
          <w:bCs/>
        </w:rPr>
      </w:pPr>
      <w:r w:rsidRPr="00AA1AC6">
        <w:rPr>
          <w:rFonts w:cstheme="minorHAnsi"/>
          <w:bCs/>
        </w:rPr>
        <w:t xml:space="preserve"> </w:t>
      </w:r>
    </w:p>
    <w:p w:rsidR="00505549" w:rsidRPr="00AA1AC6" w:rsidRDefault="00505549" w:rsidP="00505549">
      <w:pPr>
        <w:spacing w:after="80" w:line="240" w:lineRule="auto"/>
        <w:jc w:val="both"/>
        <w:rPr>
          <w:rFonts w:cstheme="minorHAnsi"/>
          <w:bCs/>
        </w:rPr>
      </w:pPr>
      <w:r w:rsidRPr="00AA1AC6">
        <w:rPr>
          <w:rFonts w:cstheme="minorHAnsi"/>
          <w:bCs/>
        </w:rPr>
        <w:t xml:space="preserve">Eşitlik ve Ayrımcılıkla Mücadele Komitesi ile Kadına Yönelik Şiddet Genel Raportörü, tüm üye devletlerdeki ulusal meclislerin yanı sıra bölgesel ve uluslararası seviyede, Sözleşme’nin hedefe yönelik eylem ile teşvik edilmesinde önemli rol oynamışlardır, mevcut imkanları </w:t>
      </w:r>
      <w:proofErr w:type="gramStart"/>
      <w:r w:rsidRPr="00AA1AC6">
        <w:rPr>
          <w:rFonts w:cstheme="minorHAnsi"/>
          <w:bCs/>
        </w:rPr>
        <w:t>dahilinde</w:t>
      </w:r>
      <w:proofErr w:type="gramEnd"/>
      <w:r w:rsidRPr="00AA1AC6">
        <w:rPr>
          <w:rFonts w:cstheme="minorHAnsi"/>
          <w:bCs/>
        </w:rPr>
        <w:t xml:space="preserve"> bunu desteklemeye de devam edeceklerdir.”</w:t>
      </w:r>
    </w:p>
    <w:p w:rsidR="00505549" w:rsidRDefault="00505549" w:rsidP="00505549">
      <w:pPr>
        <w:spacing w:after="80" w:line="240" w:lineRule="auto"/>
        <w:jc w:val="both"/>
        <w:rPr>
          <w:rFonts w:cstheme="minorHAnsi"/>
          <w:bCs/>
        </w:rPr>
      </w:pPr>
    </w:p>
    <w:p w:rsidR="000D0EA0" w:rsidRPr="00AA1AC6" w:rsidRDefault="000D0EA0" w:rsidP="00505549">
      <w:pPr>
        <w:spacing w:after="80" w:line="240" w:lineRule="auto"/>
        <w:jc w:val="both"/>
        <w:rPr>
          <w:rFonts w:cstheme="minorHAnsi"/>
          <w:bCs/>
        </w:rPr>
      </w:pPr>
      <w:r>
        <w:rPr>
          <w:rFonts w:cstheme="minorHAnsi"/>
          <w:bCs/>
        </w:rPr>
        <w:t xml:space="preserve">Metnin İngilizce </w:t>
      </w:r>
      <w:proofErr w:type="spellStart"/>
      <w:r>
        <w:rPr>
          <w:rFonts w:cstheme="minorHAnsi"/>
          <w:bCs/>
        </w:rPr>
        <w:t>Orjinaline</w:t>
      </w:r>
      <w:proofErr w:type="spellEnd"/>
      <w:r>
        <w:rPr>
          <w:rFonts w:cstheme="minorHAnsi"/>
          <w:bCs/>
        </w:rPr>
        <w:t xml:space="preserve"> bu bağlantıdan erişebilirsiniz. </w:t>
      </w:r>
    </w:p>
    <w:p w:rsidR="00505549" w:rsidRPr="00AA1AC6" w:rsidRDefault="00505549" w:rsidP="00505549">
      <w:pPr>
        <w:spacing w:after="80" w:line="240" w:lineRule="auto"/>
        <w:jc w:val="both"/>
        <w:rPr>
          <w:rStyle w:val="Kpr"/>
          <w:rFonts w:cstheme="minorHAnsi"/>
          <w:color w:val="2E74B5" w:themeColor="accent1" w:themeShade="BF"/>
        </w:rPr>
      </w:pPr>
      <w:r w:rsidRPr="00AA1AC6">
        <w:rPr>
          <w:rFonts w:cstheme="minorHAnsi"/>
          <w:bCs/>
          <w:color w:val="2E74B5" w:themeColor="accent1" w:themeShade="BF"/>
        </w:rPr>
        <w:t>https://</w:t>
      </w:r>
      <w:proofErr w:type="gramStart"/>
      <w:r w:rsidRPr="00AA1AC6">
        <w:rPr>
          <w:rFonts w:cstheme="minorHAnsi"/>
          <w:bCs/>
          <w:color w:val="2E74B5" w:themeColor="accent1" w:themeShade="BF"/>
        </w:rPr>
        <w:t>pace.coe</w:t>
      </w:r>
      <w:proofErr w:type="gramEnd"/>
      <w:r w:rsidRPr="00AA1AC6">
        <w:rPr>
          <w:rFonts w:cstheme="minorHAnsi"/>
          <w:bCs/>
          <w:color w:val="2E74B5" w:themeColor="accent1" w:themeShade="BF"/>
        </w:rPr>
        <w:t>.int/en/news/7997/statement-by-the-committee-on-equality-which-reaffirms-its-support-for-the-istanbul-convention</w:t>
      </w:r>
    </w:p>
    <w:p w:rsidR="001F588C" w:rsidRDefault="001F588C"/>
    <w:sectPr w:rsidR="001F588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D74" w:rsidRDefault="00016D74" w:rsidP="00812C97">
      <w:pPr>
        <w:spacing w:after="0" w:line="240" w:lineRule="auto"/>
      </w:pPr>
      <w:r>
        <w:separator/>
      </w:r>
    </w:p>
  </w:endnote>
  <w:endnote w:type="continuationSeparator" w:id="0">
    <w:p w:rsidR="00016D74" w:rsidRDefault="00016D74" w:rsidP="00812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C97" w:rsidRDefault="00812C97">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0" w:name="_GoBack" w:displacedByCustomXml="next"/>
  <w:bookmarkEnd w:id="0" w:displacedByCustomXml="next"/>
  <w:sdt>
    <w:sdtPr>
      <w:id w:val="-1402513722"/>
      <w:docPartObj>
        <w:docPartGallery w:val="Page Numbers (Bottom of Page)"/>
        <w:docPartUnique/>
      </w:docPartObj>
    </w:sdtPr>
    <w:sdtContent>
      <w:p w:rsidR="00812C97" w:rsidRDefault="00812C97">
        <w:pPr>
          <w:pStyle w:val="Altbilgi"/>
          <w:jc w:val="center"/>
        </w:pPr>
        <w:r>
          <w:fldChar w:fldCharType="begin"/>
        </w:r>
        <w:r>
          <w:instrText>PAGE   \* MERGEFORMAT</w:instrText>
        </w:r>
        <w:r>
          <w:fldChar w:fldCharType="separate"/>
        </w:r>
        <w:r>
          <w:rPr>
            <w:noProof/>
          </w:rPr>
          <w:t>1</w:t>
        </w:r>
        <w:r>
          <w:fldChar w:fldCharType="end"/>
        </w:r>
      </w:p>
    </w:sdtContent>
  </w:sdt>
  <w:p w:rsidR="00812C97" w:rsidRDefault="00812C97">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C97" w:rsidRDefault="00812C9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D74" w:rsidRDefault="00016D74" w:rsidP="00812C97">
      <w:pPr>
        <w:spacing w:after="0" w:line="240" w:lineRule="auto"/>
      </w:pPr>
      <w:r>
        <w:separator/>
      </w:r>
    </w:p>
  </w:footnote>
  <w:footnote w:type="continuationSeparator" w:id="0">
    <w:p w:rsidR="00016D74" w:rsidRDefault="00016D74" w:rsidP="00812C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C97" w:rsidRDefault="00812C97">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C97" w:rsidRDefault="00812C97">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C97" w:rsidRDefault="00812C97">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549"/>
    <w:rsid w:val="00016D74"/>
    <w:rsid w:val="000D0EA0"/>
    <w:rsid w:val="001F588C"/>
    <w:rsid w:val="00505549"/>
    <w:rsid w:val="00812C9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4DAD54-E0B0-4069-9BB2-D535927CB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54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505549"/>
    <w:rPr>
      <w:color w:val="0563C1" w:themeColor="hyperlink"/>
      <w:u w:val="single"/>
    </w:rPr>
  </w:style>
  <w:style w:type="paragraph" w:styleId="stbilgi">
    <w:name w:val="header"/>
    <w:basedOn w:val="Normal"/>
    <w:link w:val="stbilgiChar"/>
    <w:uiPriority w:val="99"/>
    <w:unhideWhenUsed/>
    <w:rsid w:val="00812C9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812C97"/>
  </w:style>
  <w:style w:type="paragraph" w:styleId="Altbilgi">
    <w:name w:val="footer"/>
    <w:basedOn w:val="Normal"/>
    <w:link w:val="AltbilgiChar"/>
    <w:uiPriority w:val="99"/>
    <w:unhideWhenUsed/>
    <w:rsid w:val="00812C9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812C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680</Words>
  <Characters>3878</Characters>
  <Application>Microsoft Office Word</Application>
  <DocSecurity>0</DocSecurity>
  <Lines>32</Lines>
  <Paragraphs>9</Paragraphs>
  <ScaleCrop>false</ScaleCrop>
  <Company/>
  <LinksUpToDate>false</LinksUpToDate>
  <CharactersWithSpaces>4549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Kadav-44</dc:creator>
  <cp:keywords/>
  <dc:description/>
  <cp:lastModifiedBy>Kadav-44</cp:lastModifiedBy>
  <cp:revision>3</cp:revision>
  <dcterms:created xsi:type="dcterms:W3CDTF">2020-09-17T16:46:00Z</dcterms:created>
  <dcterms:modified xsi:type="dcterms:W3CDTF">2020-09-17T16:54:00Z</dcterms:modified>
</cp:coreProperties>
</file>