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2CB13" w14:textId="63E6626D" w:rsidR="00C7420D" w:rsidRPr="00357812" w:rsidRDefault="00C7420D" w:rsidP="00357812">
      <w:pPr>
        <w:spacing w:after="0" w:line="240" w:lineRule="auto"/>
        <w:jc w:val="both"/>
        <w:rPr>
          <w:rFonts w:eastAsia="Times New Roman" w:cstheme="minorHAnsi"/>
          <w:b/>
          <w:bCs/>
          <w:sz w:val="28"/>
          <w:szCs w:val="28"/>
          <w:lang w:eastAsia="tr-TR"/>
        </w:rPr>
      </w:pPr>
      <w:r w:rsidRPr="00357812">
        <w:rPr>
          <w:rFonts w:eastAsia="Times New Roman" w:cstheme="minorHAnsi"/>
          <w:b/>
          <w:bCs/>
          <w:sz w:val="28"/>
          <w:szCs w:val="28"/>
          <w:lang w:eastAsia="tr-TR"/>
        </w:rPr>
        <w:t xml:space="preserve">Milletlerarası </w:t>
      </w:r>
      <w:proofErr w:type="spellStart"/>
      <w:r w:rsidRPr="00357812">
        <w:rPr>
          <w:rFonts w:eastAsia="Times New Roman" w:cstheme="minorHAnsi"/>
          <w:b/>
          <w:bCs/>
          <w:sz w:val="28"/>
          <w:szCs w:val="28"/>
          <w:lang w:eastAsia="tr-TR"/>
        </w:rPr>
        <w:t>Andlaşmalardan</w:t>
      </w:r>
      <w:proofErr w:type="spellEnd"/>
      <w:r w:rsidRPr="00357812">
        <w:rPr>
          <w:rFonts w:eastAsia="Times New Roman" w:cstheme="minorHAnsi"/>
          <w:b/>
          <w:bCs/>
          <w:sz w:val="28"/>
          <w:szCs w:val="28"/>
          <w:lang w:eastAsia="tr-TR"/>
        </w:rPr>
        <w:t xml:space="preserve"> Çekilme Yetkisi*</w:t>
      </w:r>
    </w:p>
    <w:p w14:paraId="491FA67E" w14:textId="77777777" w:rsidR="00C7420D" w:rsidRPr="00357812" w:rsidRDefault="00C7420D" w:rsidP="00C7420D">
      <w:pPr>
        <w:spacing w:after="0" w:line="240" w:lineRule="auto"/>
        <w:jc w:val="both"/>
        <w:rPr>
          <w:rFonts w:eastAsia="Times New Roman" w:cstheme="minorHAnsi"/>
          <w:lang w:eastAsia="tr-TR"/>
        </w:rPr>
      </w:pPr>
    </w:p>
    <w:p w14:paraId="5387F31D" w14:textId="67F2F8F9" w:rsidR="00C7420D" w:rsidRPr="00357812" w:rsidRDefault="00000000" w:rsidP="00357812">
      <w:pPr>
        <w:spacing w:after="0" w:line="240" w:lineRule="auto"/>
        <w:jc w:val="both"/>
        <w:rPr>
          <w:rFonts w:eastAsia="Times New Roman" w:cstheme="minorHAnsi"/>
          <w:lang w:eastAsia="tr-TR"/>
        </w:rPr>
      </w:pPr>
      <w:hyperlink r:id="rId5" w:history="1">
        <w:r w:rsidR="00357812" w:rsidRPr="00357812">
          <w:rPr>
            <w:rFonts w:eastAsia="Times New Roman" w:cstheme="minorHAnsi"/>
            <w:lang w:eastAsia="tr-TR"/>
          </w:rPr>
          <w:t>Ergun Özbudun</w:t>
        </w:r>
      </w:hyperlink>
    </w:p>
    <w:p w14:paraId="21867063" w14:textId="3C8CC24A" w:rsidR="00C7420D" w:rsidRPr="00357812" w:rsidRDefault="00357812" w:rsidP="00357812">
      <w:pPr>
        <w:spacing w:after="0" w:line="240" w:lineRule="auto"/>
        <w:jc w:val="both"/>
        <w:rPr>
          <w:rFonts w:eastAsia="Times New Roman" w:cstheme="minorHAnsi"/>
          <w:lang w:eastAsia="tr-TR"/>
        </w:rPr>
      </w:pPr>
      <w:r w:rsidRPr="00357812">
        <w:rPr>
          <w:rFonts w:eastAsia="Times New Roman" w:cstheme="minorHAnsi"/>
          <w:lang w:eastAsia="tr-TR"/>
        </w:rPr>
        <w:t>9 Haziran 2022</w:t>
      </w:r>
    </w:p>
    <w:p w14:paraId="174D761C" w14:textId="3D225820" w:rsidR="00C7420D" w:rsidRPr="00357812" w:rsidRDefault="00C7420D" w:rsidP="00C7420D">
      <w:pPr>
        <w:spacing w:after="0" w:line="240" w:lineRule="auto"/>
        <w:jc w:val="both"/>
        <w:rPr>
          <w:rFonts w:eastAsia="Times New Roman" w:cstheme="minorHAnsi"/>
          <w:lang w:eastAsia="tr-TR"/>
        </w:rPr>
      </w:pPr>
    </w:p>
    <w:p w14:paraId="11B8D017"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xml:space="preserve">Sayın Cumhurbaşkanı Erdoğan’ın İstanbul Sözleşmesi’nden tek taraflı iradesi ile çekilmesi, yurt içinde olduğu kadar yurt dışında da ciddi hukukî tartışmalara yol açmıştır. Avrupa Konseyi Parlamenter Meclisi, 22 Nisan 2021 tarihli kararında, bu “örneği görülmemiş” çekilmenin yarattığı tartışmalara dikkati çekmiş ve Venedik Komisyonu’ndan bu konuda karşılaştırmalı bir çalışma yapmasını istemiştir. Bu çalışma, 90 sayfalık çok ayrıntılı bir rapor halinde Komisyon’un 18-19 Mart 2022 tarihli genel kurul toplantısında kabul edilmiştir. Raporun başlığı, “Milletlerarası Antlaşmaların Onaylanması ve Bunlardan Çekilmeye İlişkin İç Hukuk Yöntemleri Hakkında </w:t>
      </w:r>
      <w:proofErr w:type="spellStart"/>
      <w:r w:rsidRPr="00357812">
        <w:rPr>
          <w:rFonts w:eastAsia="Times New Roman" w:cstheme="minorHAnsi"/>
          <w:lang w:eastAsia="tr-TR"/>
        </w:rPr>
        <w:t>Rapor”dur</w:t>
      </w:r>
      <w:proofErr w:type="spellEnd"/>
      <w:r w:rsidRPr="00357812">
        <w:rPr>
          <w:rFonts w:eastAsia="Times New Roman" w:cstheme="minorHAnsi"/>
          <w:lang w:eastAsia="tr-TR"/>
        </w:rPr>
        <w:t xml:space="preserve"> [Report on </w:t>
      </w:r>
      <w:proofErr w:type="spellStart"/>
      <w:r w:rsidRPr="00357812">
        <w:rPr>
          <w:rFonts w:eastAsia="Times New Roman" w:cstheme="minorHAnsi"/>
          <w:lang w:eastAsia="tr-TR"/>
        </w:rPr>
        <w:t>the</w:t>
      </w:r>
      <w:proofErr w:type="spellEnd"/>
      <w:r w:rsidRPr="00357812">
        <w:rPr>
          <w:rFonts w:eastAsia="Times New Roman" w:cstheme="minorHAnsi"/>
          <w:lang w:eastAsia="tr-TR"/>
        </w:rPr>
        <w:t xml:space="preserve"> </w:t>
      </w:r>
      <w:proofErr w:type="spellStart"/>
      <w:r w:rsidRPr="00357812">
        <w:rPr>
          <w:rFonts w:eastAsia="Times New Roman" w:cstheme="minorHAnsi"/>
          <w:lang w:eastAsia="tr-TR"/>
        </w:rPr>
        <w:t>Domestic</w:t>
      </w:r>
      <w:proofErr w:type="spellEnd"/>
      <w:r w:rsidRPr="00357812">
        <w:rPr>
          <w:rFonts w:eastAsia="Times New Roman" w:cstheme="minorHAnsi"/>
          <w:lang w:eastAsia="tr-TR"/>
        </w:rPr>
        <w:t xml:space="preserve"> </w:t>
      </w:r>
      <w:proofErr w:type="spellStart"/>
      <w:r w:rsidRPr="00357812">
        <w:rPr>
          <w:rFonts w:eastAsia="Times New Roman" w:cstheme="minorHAnsi"/>
          <w:lang w:eastAsia="tr-TR"/>
        </w:rPr>
        <w:t>Procedures</w:t>
      </w:r>
      <w:proofErr w:type="spellEnd"/>
      <w:r w:rsidRPr="00357812">
        <w:rPr>
          <w:rFonts w:eastAsia="Times New Roman" w:cstheme="minorHAnsi"/>
          <w:lang w:eastAsia="tr-TR"/>
        </w:rPr>
        <w:t xml:space="preserve"> of </w:t>
      </w:r>
      <w:proofErr w:type="spellStart"/>
      <w:r w:rsidRPr="00357812">
        <w:rPr>
          <w:rFonts w:eastAsia="Times New Roman" w:cstheme="minorHAnsi"/>
          <w:lang w:eastAsia="tr-TR"/>
        </w:rPr>
        <w:t>Ratification</w:t>
      </w:r>
      <w:proofErr w:type="spellEnd"/>
      <w:r w:rsidRPr="00357812">
        <w:rPr>
          <w:rFonts w:eastAsia="Times New Roman" w:cstheme="minorHAnsi"/>
          <w:lang w:eastAsia="tr-TR"/>
        </w:rPr>
        <w:t xml:space="preserve"> </w:t>
      </w:r>
      <w:proofErr w:type="spellStart"/>
      <w:r w:rsidRPr="00357812">
        <w:rPr>
          <w:rFonts w:eastAsia="Times New Roman" w:cstheme="minorHAnsi"/>
          <w:lang w:eastAsia="tr-TR"/>
        </w:rPr>
        <w:t>and</w:t>
      </w:r>
      <w:proofErr w:type="spellEnd"/>
      <w:r w:rsidRPr="00357812">
        <w:rPr>
          <w:rFonts w:eastAsia="Times New Roman" w:cstheme="minorHAnsi"/>
          <w:lang w:eastAsia="tr-TR"/>
        </w:rPr>
        <w:t xml:space="preserve"> </w:t>
      </w:r>
      <w:proofErr w:type="spellStart"/>
      <w:r w:rsidRPr="00357812">
        <w:rPr>
          <w:rFonts w:eastAsia="Times New Roman" w:cstheme="minorHAnsi"/>
          <w:lang w:eastAsia="tr-TR"/>
        </w:rPr>
        <w:t>Denunciation</w:t>
      </w:r>
      <w:proofErr w:type="spellEnd"/>
      <w:r w:rsidRPr="00357812">
        <w:rPr>
          <w:rFonts w:eastAsia="Times New Roman" w:cstheme="minorHAnsi"/>
          <w:lang w:eastAsia="tr-TR"/>
        </w:rPr>
        <w:t xml:space="preserve"> of International </w:t>
      </w:r>
      <w:proofErr w:type="spellStart"/>
      <w:r w:rsidRPr="00357812">
        <w:rPr>
          <w:rFonts w:eastAsia="Times New Roman" w:cstheme="minorHAnsi"/>
          <w:lang w:eastAsia="tr-TR"/>
        </w:rPr>
        <w:t>Treaties</w:t>
      </w:r>
      <w:proofErr w:type="spellEnd"/>
      <w:r w:rsidRPr="00357812">
        <w:rPr>
          <w:rFonts w:eastAsia="Times New Roman" w:cstheme="minorHAnsi"/>
          <w:lang w:eastAsia="tr-TR"/>
        </w:rPr>
        <w:t xml:space="preserve">, CDL-AD (2022) 001, </w:t>
      </w:r>
      <w:proofErr w:type="spellStart"/>
      <w:r w:rsidRPr="00357812">
        <w:rPr>
          <w:rFonts w:eastAsia="Times New Roman" w:cstheme="minorHAnsi"/>
          <w:lang w:eastAsia="tr-TR"/>
        </w:rPr>
        <w:t>Opinion</w:t>
      </w:r>
      <w:proofErr w:type="spellEnd"/>
      <w:r w:rsidRPr="00357812">
        <w:rPr>
          <w:rFonts w:eastAsia="Times New Roman" w:cstheme="minorHAnsi"/>
          <w:lang w:eastAsia="tr-TR"/>
        </w:rPr>
        <w:t xml:space="preserve"> No. 1045/2021].</w:t>
      </w:r>
    </w:p>
    <w:p w14:paraId="7A13B381"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60DA620F"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xml:space="preserve">Komisyon bu çalışmaya Avrupa Konseyi üyesi 47 ülke ile Konsey üyesi olmadığı halde Venedik Komisyonu üyesi olan 17 devleti dâhil etmiştir. Bu ülkelerin hepsinde </w:t>
      </w:r>
      <w:proofErr w:type="spellStart"/>
      <w:r w:rsidRPr="00357812">
        <w:rPr>
          <w:rFonts w:eastAsia="Times New Roman" w:cstheme="minorHAnsi"/>
          <w:lang w:eastAsia="tr-TR"/>
        </w:rPr>
        <w:t>andlaşmaların</w:t>
      </w:r>
      <w:proofErr w:type="spellEnd"/>
      <w:r w:rsidRPr="00357812">
        <w:rPr>
          <w:rFonts w:eastAsia="Times New Roman" w:cstheme="minorHAnsi"/>
          <w:lang w:eastAsia="tr-TR"/>
        </w:rPr>
        <w:t xml:space="preserve"> onaylanması konusunda parlamentolara belli bir yetki tanınmıştır. Çekilme konusunda da Konsey üyesi devletlerin çoğunluğu (29 devlet) parlamentoya yetki tanımakta, 18 devlette ise böyle bir yetki tanınmamaktadır. Komisyon, üye devletlerin sahip olduğu hükümet sistemlerinin bu konuda bir fark yaratıp yaratmadığını da araştırmıştır. 47 üye devletten 28’i parlamenter sistemle, 19’u başkanlık veya yarı-başkanlık sistemiyle yönetilmektedir. Zannedilebileceğinin aksine, başkanlık sistemiyle yönetilen ülkelerde de parlamentonun yetkisi daha sınırlı değildir. Bu 19 ülkenin beşinde parlamentonun onayı sadece onay işlemi için arandığı halde, 14’ünde bu </w:t>
      </w:r>
      <w:proofErr w:type="gramStart"/>
      <w:r w:rsidRPr="00357812">
        <w:rPr>
          <w:rFonts w:eastAsia="Times New Roman" w:cstheme="minorHAnsi"/>
          <w:lang w:eastAsia="tr-TR"/>
        </w:rPr>
        <w:t>onay,</w:t>
      </w:r>
      <w:proofErr w:type="gramEnd"/>
      <w:r w:rsidRPr="00357812">
        <w:rPr>
          <w:rFonts w:eastAsia="Times New Roman" w:cstheme="minorHAnsi"/>
          <w:lang w:eastAsia="tr-TR"/>
        </w:rPr>
        <w:t xml:space="preserve"> hem onaylanma hem çekilme için aranmaktadır. Komisyon, bu sistemlerden ilkine “asimetrik model”, ikincisine “simetrik model” adını vermektedir. Nihayet Komisyon, daha yeni anayasalarda parlamentonun rolünün daha güçlü olduğu yönünde bir eğilim de tespit etmiştir (s. 5-6, 29, 73-74).</w:t>
      </w:r>
    </w:p>
    <w:p w14:paraId="34F0BF94"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12F25A59"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b/>
          <w:bCs/>
          <w:lang w:eastAsia="tr-TR"/>
        </w:rPr>
        <w:t>Simetrik ve Asimetrik Modeller</w:t>
      </w:r>
    </w:p>
    <w:p w14:paraId="7680CA0B"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45D3ED4D"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Ülkelerin simetrik ya da asimetrik modellerden hangisini benimsediği genellikle anayasalarında veya kanunlarında belirtilmiştir. Raporda Türkiye, bu konuda anayasasında veya kanunlarında açık bir hüküm olmadığı gerekçesiyle, asimetrik devletler kategorisine dâhil edilmiştir. Ancak aynı gerekçeyle asimetrik ülkeler arasında sayılan Almanya, Portekiz ve Birleşik Krallık’ın durumunda olduğu gibi, bu nitelendirme bazı akademisyenlerce eleştirilmiş ve çekilmenin de parlamentonun onayına bağlı olduğunun zımnen kabul edilmiş bulunduğu savunulmuştur (s. 25-26).</w:t>
      </w:r>
    </w:p>
    <w:p w14:paraId="6E436CA0"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2BAB252C"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xml:space="preserve">Komisyon, simetrik modelin demokrasi ve hukuk devleti gereklerine daha uygun olduğu ve uluslararası anayasa yapımı sürecinde giderek rağbet gördüğü kanısında olmakla birlikte, bunun henüz </w:t>
      </w:r>
      <w:proofErr w:type="spellStart"/>
      <w:r w:rsidRPr="00357812">
        <w:rPr>
          <w:rFonts w:eastAsia="Times New Roman" w:cstheme="minorHAnsi"/>
          <w:lang w:eastAsia="tr-TR"/>
        </w:rPr>
        <w:t>teamülî</w:t>
      </w:r>
      <w:proofErr w:type="spellEnd"/>
      <w:r w:rsidRPr="00357812">
        <w:rPr>
          <w:rFonts w:eastAsia="Times New Roman" w:cstheme="minorHAnsi"/>
          <w:lang w:eastAsia="tr-TR"/>
        </w:rPr>
        <w:t xml:space="preserve"> ve bölgesel bir uluslararası hukuk kuralı sayılamayacağı sonucuna varmıştır. Dolayısıyla bu konuda üye devletlerin takdir yetkisi mevcuttur (s. 76-77). Bir ülkede bu sistemlerden hangisinin benimsendiğini anlamak için, o ülkenin ilgili iç hukuk düzenlemelerinin incelenmesi gerekir.</w:t>
      </w:r>
    </w:p>
    <w:p w14:paraId="5FBDC3F4"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0E133F9C"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b/>
          <w:bCs/>
          <w:lang w:eastAsia="tr-TR"/>
        </w:rPr>
        <w:t>Türk Hukuk Sistemi</w:t>
      </w:r>
    </w:p>
    <w:p w14:paraId="137C0097"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172F6E2F"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xml:space="preserve">Türk hukuk sistemi açısından sorun, hiçbir tartışmaya yer bırakmayacak derecede açıktır. Anayasamızın 87’nci maddesine göre, “milletlerarası </w:t>
      </w:r>
      <w:proofErr w:type="spellStart"/>
      <w:r w:rsidRPr="00357812">
        <w:rPr>
          <w:rFonts w:eastAsia="Times New Roman" w:cstheme="minorHAnsi"/>
          <w:lang w:eastAsia="tr-TR"/>
        </w:rPr>
        <w:t>andlaşmaların</w:t>
      </w:r>
      <w:proofErr w:type="spellEnd"/>
      <w:r w:rsidRPr="00357812">
        <w:rPr>
          <w:rFonts w:eastAsia="Times New Roman" w:cstheme="minorHAnsi"/>
          <w:lang w:eastAsia="tr-TR"/>
        </w:rPr>
        <w:t xml:space="preserve"> onaylanmasını uygun bulmak” TBMM’nin görev ve yetkileri arasındadır. Gene Anayasamızın 90’ıncı maddesinin ilk fıkrasına göre, “Türkiye Cumhuriyeti adına yabancı devletlerle ve milletlerarası kuruluşlarla yapılacak </w:t>
      </w:r>
      <w:proofErr w:type="spellStart"/>
      <w:r w:rsidRPr="00357812">
        <w:rPr>
          <w:rFonts w:eastAsia="Times New Roman" w:cstheme="minorHAnsi"/>
          <w:lang w:eastAsia="tr-TR"/>
        </w:rPr>
        <w:t>andlaşmaların</w:t>
      </w:r>
      <w:proofErr w:type="spellEnd"/>
      <w:r w:rsidRPr="00357812">
        <w:rPr>
          <w:rFonts w:eastAsia="Times New Roman" w:cstheme="minorHAnsi"/>
          <w:lang w:eastAsia="tr-TR"/>
        </w:rPr>
        <w:t xml:space="preserve"> onaylanması, Türkiye Büyük Millet Meclisi’nin onaylamayı bir kanunla uygun bulmasına bağlıdır.” Aynı maddenin ikinci ve üçüncü fıkraları, tali önemdeki birtakım </w:t>
      </w:r>
      <w:proofErr w:type="spellStart"/>
      <w:r w:rsidRPr="00357812">
        <w:rPr>
          <w:rFonts w:eastAsia="Times New Roman" w:cstheme="minorHAnsi"/>
          <w:lang w:eastAsia="tr-TR"/>
        </w:rPr>
        <w:t>andlaşmaları</w:t>
      </w:r>
      <w:proofErr w:type="spellEnd"/>
      <w:r w:rsidRPr="00357812">
        <w:rPr>
          <w:rFonts w:eastAsia="Times New Roman" w:cstheme="minorHAnsi"/>
          <w:lang w:eastAsia="tr-TR"/>
        </w:rPr>
        <w:t xml:space="preserve">, neler olduklarını da tasrih ederek, bu kuralın dışında bırakmıştır. Dördüncü fıkraya göre ise, “Türk kanunlarına değişiklik getiren her türlü </w:t>
      </w:r>
      <w:proofErr w:type="spellStart"/>
      <w:r w:rsidRPr="00357812">
        <w:rPr>
          <w:rFonts w:eastAsia="Times New Roman" w:cstheme="minorHAnsi"/>
          <w:lang w:eastAsia="tr-TR"/>
        </w:rPr>
        <w:lastRenderedPageBreak/>
        <w:t>andlaşmaların</w:t>
      </w:r>
      <w:proofErr w:type="spellEnd"/>
      <w:r w:rsidRPr="00357812">
        <w:rPr>
          <w:rFonts w:eastAsia="Times New Roman" w:cstheme="minorHAnsi"/>
          <w:lang w:eastAsia="tr-TR"/>
        </w:rPr>
        <w:t xml:space="preserve"> yapılmasında birinci fıkra hükmü uygulanır.” İstanbul Sözleşmesi de bu hükümlere uygun olarak, TBMM’ce bir kanunla uygun bulunduktan sonra onaylanmıştır.</w:t>
      </w:r>
    </w:p>
    <w:p w14:paraId="11A2C5F0"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2C9038E4"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xml:space="preserve">Bu hükümlerle, milletlerarası </w:t>
      </w:r>
      <w:proofErr w:type="spellStart"/>
      <w:r w:rsidRPr="00357812">
        <w:rPr>
          <w:rFonts w:eastAsia="Times New Roman" w:cstheme="minorHAnsi"/>
          <w:lang w:eastAsia="tr-TR"/>
        </w:rPr>
        <w:t>andlaşmaları</w:t>
      </w:r>
      <w:proofErr w:type="spellEnd"/>
      <w:r w:rsidRPr="00357812">
        <w:rPr>
          <w:rFonts w:eastAsia="Times New Roman" w:cstheme="minorHAnsi"/>
          <w:lang w:eastAsia="tr-TR"/>
        </w:rPr>
        <w:t xml:space="preserve"> onaylamak ve yayınlamayı Cumhurbaşkanının görev ve yetkileri arasında sayan Anayasanın 104’üncü maddesi arasında bir çelişki olup olmadığı sorusu akla gelebilir. Ancak kesinlikle böyle bir çelişki yoktur. Cumhurbaşkanının onay yetkisi, ona Devletin temsilcisi olma sıfatıyla tanınmış tamamen törensel bir yetkidir. Cumhurbaşkanının, TBMM’ce uygun bulunması gerektiği halde uygun bulunmamış bir </w:t>
      </w:r>
      <w:proofErr w:type="spellStart"/>
      <w:r w:rsidRPr="00357812">
        <w:rPr>
          <w:rFonts w:eastAsia="Times New Roman" w:cstheme="minorHAnsi"/>
          <w:lang w:eastAsia="tr-TR"/>
        </w:rPr>
        <w:t>andlaşmayı</w:t>
      </w:r>
      <w:proofErr w:type="spellEnd"/>
      <w:r w:rsidRPr="00357812">
        <w:rPr>
          <w:rFonts w:eastAsia="Times New Roman" w:cstheme="minorHAnsi"/>
          <w:lang w:eastAsia="tr-TR"/>
        </w:rPr>
        <w:t xml:space="preserve"> onaylama yetkisi kesinlikle yoktur.</w:t>
      </w:r>
    </w:p>
    <w:p w14:paraId="33E35F37"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34C89966"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xml:space="preserve">Görülüyor ki, 90’ıncı madde </w:t>
      </w:r>
      <w:proofErr w:type="spellStart"/>
      <w:r w:rsidRPr="00357812">
        <w:rPr>
          <w:rFonts w:eastAsia="Times New Roman" w:cstheme="minorHAnsi"/>
          <w:lang w:eastAsia="tr-TR"/>
        </w:rPr>
        <w:t>andlaşmalardan</w:t>
      </w:r>
      <w:proofErr w:type="spellEnd"/>
      <w:r w:rsidRPr="00357812">
        <w:rPr>
          <w:rFonts w:eastAsia="Times New Roman" w:cstheme="minorHAnsi"/>
          <w:lang w:eastAsia="tr-TR"/>
        </w:rPr>
        <w:t xml:space="preserve"> çekilme konusunda herhangi bir hüküm ihtiva etmemektedir. Ancak kamu hukukunun temel bir ilkesi, yetkide ve usulde paralelliktir. Dolayısıyla, onaylanması TBMM’ce uygun bulunma şartına bağlanmış bir </w:t>
      </w:r>
      <w:proofErr w:type="spellStart"/>
      <w:r w:rsidRPr="00357812">
        <w:rPr>
          <w:rFonts w:eastAsia="Times New Roman" w:cstheme="minorHAnsi"/>
          <w:lang w:eastAsia="tr-TR"/>
        </w:rPr>
        <w:t>andlaşmadan</w:t>
      </w:r>
      <w:proofErr w:type="spellEnd"/>
      <w:r w:rsidRPr="00357812">
        <w:rPr>
          <w:rFonts w:eastAsia="Times New Roman" w:cstheme="minorHAnsi"/>
          <w:lang w:eastAsia="tr-TR"/>
        </w:rPr>
        <w:t xml:space="preserve"> çekilmek de ancak TBMM’nin bunu uygun bulmasıyla mümkün olabilir. Aksi, açık bir Anayasaya aykırılık oluşturur.</w:t>
      </w:r>
    </w:p>
    <w:p w14:paraId="0EB19E6C"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4F1749D5"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xml:space="preserve">Son olarak, Cumhurbaşkanının bir </w:t>
      </w:r>
      <w:proofErr w:type="spellStart"/>
      <w:r w:rsidRPr="00357812">
        <w:rPr>
          <w:rFonts w:eastAsia="Times New Roman" w:cstheme="minorHAnsi"/>
          <w:lang w:eastAsia="tr-TR"/>
        </w:rPr>
        <w:t>andlaşmadan</w:t>
      </w:r>
      <w:proofErr w:type="spellEnd"/>
      <w:r w:rsidRPr="00357812">
        <w:rPr>
          <w:rFonts w:eastAsia="Times New Roman" w:cstheme="minorHAnsi"/>
          <w:lang w:eastAsia="tr-TR"/>
        </w:rPr>
        <w:t xml:space="preserve"> çekilmesinin, Cumhurbaşkanlığı kararnamesi çıkarma yetkisi içinde düşünülüp düşünülemeyeceği tartışılabilir. 2017 Anayasa değişikliği ile Cumhurbaşkanına yürütme yetkisine ilişkin konularda geniş bir kararname çıkarma yetkisi tanınmıştır. Ancak değişik 104’üncü madde, bu kararnamelere kanunların altında bir konum vermektedir. Nitekim münhasıran kanunla düzenlenmesi öngörülen veya kanunda açıkça düzenlenen konularda Cumhurbaşkanlığı kararnamesi çıkarılamayacağı, Cumhurbaşkanlığı kararnamesi ile kanunlarda farklı hükümlerin bulunması halinde kanun hükümlerinin uygulanacağı, TBMM’nin aynı konuda kanun çıkarması halinde Cumhurbaşkanlığı kararnamesinin hükümsüz kalacağı bu maddede açıkça belirtilmiştir. Oysa Anayasanın 90’ıncı maddesine göre (f. 5) “Usulüne göre yürürlüğe konulmuş milletlerarası </w:t>
      </w:r>
      <w:proofErr w:type="spellStart"/>
      <w:r w:rsidRPr="00357812">
        <w:rPr>
          <w:rFonts w:eastAsia="Times New Roman" w:cstheme="minorHAnsi"/>
          <w:lang w:eastAsia="tr-TR"/>
        </w:rPr>
        <w:t>andlaşmalar</w:t>
      </w:r>
      <w:proofErr w:type="spellEnd"/>
      <w:r w:rsidRPr="00357812">
        <w:rPr>
          <w:rFonts w:eastAsia="Times New Roman" w:cstheme="minorHAnsi"/>
          <w:lang w:eastAsia="tr-TR"/>
        </w:rPr>
        <w:t xml:space="preserve"> kanun hükmündedir.” Dolayısıyla İstanbul Sözleşmesi’nden çekilmek, Cumhurbaşkanının tek taraflı iradesiyle bir kanunun yürürlükten kaldırılması sonucunu doğurmaktadır. Bunun da açık bir Anayasaya aykırılık teşkil ettiğinde kuşku yoktur.</w:t>
      </w:r>
    </w:p>
    <w:p w14:paraId="4B785DD9"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w:t>
      </w:r>
    </w:p>
    <w:p w14:paraId="63B53621" w14:textId="77777777" w:rsidR="00C7420D" w:rsidRPr="00357812" w:rsidRDefault="00C7420D" w:rsidP="00C7420D">
      <w:pPr>
        <w:spacing w:after="0" w:line="240" w:lineRule="auto"/>
        <w:jc w:val="both"/>
        <w:rPr>
          <w:rFonts w:eastAsia="Times New Roman" w:cstheme="minorHAnsi"/>
          <w:lang w:eastAsia="tr-TR"/>
        </w:rPr>
      </w:pPr>
      <w:r w:rsidRPr="00357812">
        <w:rPr>
          <w:rFonts w:eastAsia="Times New Roman" w:cstheme="minorHAnsi"/>
          <w:lang w:eastAsia="tr-TR"/>
        </w:rPr>
        <w:t xml:space="preserve">15 Temmuz 2018 tarihli 9 sayılı Cumhurbaşkanlığı Kararnamesi’nin 3’üncü maddesinin ilk fıkrasıyla Cumhurbaşkanına tanınan yetkinin de Anayasaya aykırı olduğunu hatırlatmak gerekir. Bu hüküm, Cumhurbaşkanı kararıyla milletlerarası </w:t>
      </w:r>
      <w:proofErr w:type="spellStart"/>
      <w:r w:rsidRPr="00357812">
        <w:rPr>
          <w:rFonts w:eastAsia="Times New Roman" w:cstheme="minorHAnsi"/>
          <w:lang w:eastAsia="tr-TR"/>
        </w:rPr>
        <w:t>andlaşmaların</w:t>
      </w:r>
      <w:proofErr w:type="spellEnd"/>
      <w:r w:rsidRPr="00357812">
        <w:rPr>
          <w:rFonts w:eastAsia="Times New Roman" w:cstheme="minorHAnsi"/>
          <w:lang w:eastAsia="tr-TR"/>
        </w:rPr>
        <w:t xml:space="preserve"> sona erdirilebileceğini düzenlemektedir. Anayasanın 90’ıncı maddesinin beşinci fıkrası karşısında milletlerarası bir </w:t>
      </w:r>
      <w:proofErr w:type="spellStart"/>
      <w:r w:rsidRPr="00357812">
        <w:rPr>
          <w:rFonts w:eastAsia="Times New Roman" w:cstheme="minorHAnsi"/>
          <w:lang w:eastAsia="tr-TR"/>
        </w:rPr>
        <w:t>andlaşmadan</w:t>
      </w:r>
      <w:proofErr w:type="spellEnd"/>
      <w:r w:rsidRPr="00357812">
        <w:rPr>
          <w:rFonts w:eastAsia="Times New Roman" w:cstheme="minorHAnsi"/>
          <w:lang w:eastAsia="tr-TR"/>
        </w:rPr>
        <w:t xml:space="preserve"> Cumhurbaşkanlığı kararnamesiyle çekilmek ne ölçüde Anayasaya aykırıysa, Cumhurbaşkanlığı kararnamesinin sunduğu bir yetkiyle milletlerarası bir </w:t>
      </w:r>
      <w:proofErr w:type="spellStart"/>
      <w:r w:rsidRPr="00357812">
        <w:rPr>
          <w:rFonts w:eastAsia="Times New Roman" w:cstheme="minorHAnsi"/>
          <w:lang w:eastAsia="tr-TR"/>
        </w:rPr>
        <w:t>andlaşmayı</w:t>
      </w:r>
      <w:proofErr w:type="spellEnd"/>
      <w:r w:rsidRPr="00357812">
        <w:rPr>
          <w:rFonts w:eastAsia="Times New Roman" w:cstheme="minorHAnsi"/>
          <w:lang w:eastAsia="tr-TR"/>
        </w:rPr>
        <w:t xml:space="preserve"> Cumhurbaşkanı kararı yoluyla sona erdirmek de aynı ölçüde Anayasaya aykırıdır. Bütün bu gerekçelerle Türkiye Cumhuriyeti Devleti’nin İstanbul Sözleşmesi’nden çekildiğini beyan eden 19 Mart 2021 tarihli 3718 sayılı Cumhurbaşkanı Kararı Anayasaya aykırıdır.</w:t>
      </w:r>
    </w:p>
    <w:p w14:paraId="4EA00CEC" w14:textId="185AE2D7" w:rsidR="008F700D" w:rsidRPr="00357812" w:rsidRDefault="008F700D" w:rsidP="00C7420D">
      <w:pPr>
        <w:jc w:val="both"/>
        <w:rPr>
          <w:rFonts w:cstheme="minorHAnsi"/>
        </w:rPr>
      </w:pPr>
    </w:p>
    <w:p w14:paraId="71BD1384" w14:textId="46C75DC5" w:rsidR="00C7420D" w:rsidRPr="00357812" w:rsidRDefault="00C7420D" w:rsidP="00C7420D">
      <w:pPr>
        <w:jc w:val="both"/>
        <w:rPr>
          <w:rFonts w:cstheme="minorHAnsi"/>
        </w:rPr>
      </w:pPr>
      <w:r w:rsidRPr="00357812">
        <w:rPr>
          <w:rFonts w:cstheme="minorHAnsi"/>
        </w:rPr>
        <w:t xml:space="preserve">* </w:t>
      </w:r>
      <w:r w:rsidR="00357812" w:rsidRPr="00357812">
        <w:rPr>
          <w:rFonts w:cstheme="minorHAnsi"/>
        </w:rPr>
        <w:t xml:space="preserve">Bu yazı, </w:t>
      </w:r>
      <w:hyperlink r:id="rId6" w:history="1">
        <w:r w:rsidR="00357812" w:rsidRPr="00357812">
          <w:rPr>
            <w:rStyle w:val="Kpr"/>
            <w:rFonts w:cstheme="minorHAnsi"/>
          </w:rPr>
          <w:t>https://www.perspektif.online/milletlerarasi-andlasmalardan-cekilme-yetkisi/</w:t>
        </w:r>
      </w:hyperlink>
      <w:r w:rsidRPr="00357812">
        <w:rPr>
          <w:rFonts w:cstheme="minorHAnsi"/>
        </w:rPr>
        <w:t xml:space="preserve"> linkinden alınmıştır.</w:t>
      </w:r>
    </w:p>
    <w:sectPr w:rsidR="00C7420D" w:rsidRPr="003578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369CE"/>
    <w:multiLevelType w:val="multilevel"/>
    <w:tmpl w:val="9BE63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1666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20D"/>
    <w:rsid w:val="00357812"/>
    <w:rsid w:val="008F700D"/>
    <w:rsid w:val="00C7420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24656"/>
  <w15:chartTrackingRefBased/>
  <w15:docId w15:val="{DE566BDE-AD45-40C3-9F19-8DFD80BEE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link w:val="Balk1Char"/>
    <w:uiPriority w:val="9"/>
    <w:qFormat/>
    <w:rsid w:val="00C742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7420D"/>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C7420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elementor-icon-list-item">
    <w:name w:val="elementor-icon-list-item"/>
    <w:basedOn w:val="Normal"/>
    <w:rsid w:val="00C7420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elementor-icon-list-text">
    <w:name w:val="elementor-icon-list-text"/>
    <w:basedOn w:val="VarsaylanParagrafYazTipi"/>
    <w:rsid w:val="00C7420D"/>
  </w:style>
  <w:style w:type="character" w:styleId="Gl">
    <w:name w:val="Strong"/>
    <w:basedOn w:val="VarsaylanParagrafYazTipi"/>
    <w:uiPriority w:val="22"/>
    <w:qFormat/>
    <w:rsid w:val="00C7420D"/>
    <w:rPr>
      <w:b/>
      <w:bCs/>
    </w:rPr>
  </w:style>
  <w:style w:type="paragraph" w:styleId="ListeParagraf">
    <w:name w:val="List Paragraph"/>
    <w:basedOn w:val="Normal"/>
    <w:uiPriority w:val="34"/>
    <w:qFormat/>
    <w:rsid w:val="00C7420D"/>
    <w:pPr>
      <w:ind w:left="720"/>
      <w:contextualSpacing/>
    </w:pPr>
  </w:style>
  <w:style w:type="character" w:styleId="Kpr">
    <w:name w:val="Hyperlink"/>
    <w:basedOn w:val="VarsaylanParagrafYazTipi"/>
    <w:uiPriority w:val="99"/>
    <w:unhideWhenUsed/>
    <w:rsid w:val="00C7420D"/>
    <w:rPr>
      <w:color w:val="0563C1" w:themeColor="hyperlink"/>
      <w:u w:val="single"/>
    </w:rPr>
  </w:style>
  <w:style w:type="character" w:styleId="zmlenmeyenBahsetme">
    <w:name w:val="Unresolved Mention"/>
    <w:basedOn w:val="VarsaylanParagrafYazTipi"/>
    <w:uiPriority w:val="99"/>
    <w:semiHidden/>
    <w:unhideWhenUsed/>
    <w:rsid w:val="00C74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437058">
      <w:bodyDiv w:val="1"/>
      <w:marLeft w:val="0"/>
      <w:marRight w:val="0"/>
      <w:marTop w:val="0"/>
      <w:marBottom w:val="0"/>
      <w:divBdr>
        <w:top w:val="none" w:sz="0" w:space="0" w:color="auto"/>
        <w:left w:val="none" w:sz="0" w:space="0" w:color="auto"/>
        <w:bottom w:val="none" w:sz="0" w:space="0" w:color="auto"/>
        <w:right w:val="none" w:sz="0" w:space="0" w:color="auto"/>
      </w:divBdr>
      <w:divsChild>
        <w:div w:id="1962570651">
          <w:marLeft w:val="0"/>
          <w:marRight w:val="0"/>
          <w:marTop w:val="0"/>
          <w:marBottom w:val="0"/>
          <w:divBdr>
            <w:top w:val="none" w:sz="0" w:space="0" w:color="auto"/>
            <w:left w:val="none" w:sz="0" w:space="0" w:color="auto"/>
            <w:bottom w:val="none" w:sz="0" w:space="0" w:color="auto"/>
            <w:right w:val="none" w:sz="0" w:space="0" w:color="auto"/>
          </w:divBdr>
          <w:divsChild>
            <w:div w:id="4065777">
              <w:marLeft w:val="0"/>
              <w:marRight w:val="0"/>
              <w:marTop w:val="0"/>
              <w:marBottom w:val="0"/>
              <w:divBdr>
                <w:top w:val="none" w:sz="0" w:space="0" w:color="auto"/>
                <w:left w:val="none" w:sz="0" w:space="0" w:color="auto"/>
                <w:bottom w:val="none" w:sz="0" w:space="0" w:color="auto"/>
                <w:right w:val="none" w:sz="0" w:space="0" w:color="auto"/>
              </w:divBdr>
              <w:divsChild>
                <w:div w:id="1365524481">
                  <w:marLeft w:val="0"/>
                  <w:marRight w:val="0"/>
                  <w:marTop w:val="0"/>
                  <w:marBottom w:val="0"/>
                  <w:divBdr>
                    <w:top w:val="none" w:sz="0" w:space="0" w:color="auto"/>
                    <w:left w:val="none" w:sz="0" w:space="0" w:color="auto"/>
                    <w:bottom w:val="none" w:sz="0" w:space="0" w:color="auto"/>
                    <w:right w:val="none" w:sz="0" w:space="0" w:color="auto"/>
                  </w:divBdr>
                  <w:divsChild>
                    <w:div w:id="324939965">
                      <w:marLeft w:val="0"/>
                      <w:marRight w:val="0"/>
                      <w:marTop w:val="0"/>
                      <w:marBottom w:val="0"/>
                      <w:divBdr>
                        <w:top w:val="none" w:sz="0" w:space="0" w:color="auto"/>
                        <w:left w:val="none" w:sz="0" w:space="0" w:color="auto"/>
                        <w:bottom w:val="none" w:sz="0" w:space="0" w:color="auto"/>
                        <w:right w:val="none" w:sz="0" w:space="0" w:color="auto"/>
                      </w:divBdr>
                      <w:divsChild>
                        <w:div w:id="1188299289">
                          <w:marLeft w:val="0"/>
                          <w:marRight w:val="0"/>
                          <w:marTop w:val="0"/>
                          <w:marBottom w:val="0"/>
                          <w:divBdr>
                            <w:top w:val="none" w:sz="0" w:space="0" w:color="auto"/>
                            <w:left w:val="none" w:sz="0" w:space="0" w:color="auto"/>
                            <w:bottom w:val="none" w:sz="0" w:space="0" w:color="auto"/>
                            <w:right w:val="none" w:sz="0" w:space="0" w:color="auto"/>
                          </w:divBdr>
                          <w:divsChild>
                            <w:div w:id="768888526">
                              <w:marLeft w:val="0"/>
                              <w:marRight w:val="0"/>
                              <w:marTop w:val="0"/>
                              <w:marBottom w:val="0"/>
                              <w:divBdr>
                                <w:top w:val="none" w:sz="0" w:space="0" w:color="auto"/>
                                <w:left w:val="none" w:sz="0" w:space="0" w:color="auto"/>
                                <w:bottom w:val="none" w:sz="0" w:space="0" w:color="auto"/>
                                <w:right w:val="none" w:sz="0" w:space="0" w:color="auto"/>
                              </w:divBdr>
                              <w:divsChild>
                                <w:div w:id="1334146641">
                                  <w:marLeft w:val="0"/>
                                  <w:marRight w:val="0"/>
                                  <w:marTop w:val="0"/>
                                  <w:marBottom w:val="0"/>
                                  <w:divBdr>
                                    <w:top w:val="none" w:sz="0" w:space="0" w:color="auto"/>
                                    <w:left w:val="none" w:sz="0" w:space="0" w:color="auto"/>
                                    <w:bottom w:val="none" w:sz="0" w:space="0" w:color="auto"/>
                                    <w:right w:val="none" w:sz="0" w:space="0" w:color="auto"/>
                                  </w:divBdr>
                                  <w:divsChild>
                                    <w:div w:id="132797591">
                                      <w:marLeft w:val="0"/>
                                      <w:marRight w:val="0"/>
                                      <w:marTop w:val="0"/>
                                      <w:marBottom w:val="0"/>
                                      <w:divBdr>
                                        <w:top w:val="none" w:sz="0" w:space="0" w:color="auto"/>
                                        <w:left w:val="none" w:sz="0" w:space="0" w:color="auto"/>
                                        <w:bottom w:val="none" w:sz="0" w:space="0" w:color="auto"/>
                                        <w:right w:val="none" w:sz="0" w:space="0" w:color="auto"/>
                                      </w:divBdr>
                                      <w:divsChild>
                                        <w:div w:id="740644310">
                                          <w:marLeft w:val="0"/>
                                          <w:marRight w:val="0"/>
                                          <w:marTop w:val="0"/>
                                          <w:marBottom w:val="0"/>
                                          <w:divBdr>
                                            <w:top w:val="none" w:sz="0" w:space="0" w:color="auto"/>
                                            <w:left w:val="none" w:sz="0" w:space="0" w:color="auto"/>
                                            <w:bottom w:val="none" w:sz="0" w:space="0" w:color="auto"/>
                                            <w:right w:val="none" w:sz="0" w:space="0" w:color="auto"/>
                                          </w:divBdr>
                                          <w:divsChild>
                                            <w:div w:id="62218401">
                                              <w:marLeft w:val="0"/>
                                              <w:marRight w:val="0"/>
                                              <w:marTop w:val="0"/>
                                              <w:marBottom w:val="0"/>
                                              <w:divBdr>
                                                <w:top w:val="none" w:sz="0" w:space="0" w:color="auto"/>
                                                <w:left w:val="none" w:sz="0" w:space="0" w:color="auto"/>
                                                <w:bottom w:val="none" w:sz="0" w:space="0" w:color="auto"/>
                                                <w:right w:val="none" w:sz="0" w:space="0" w:color="auto"/>
                                              </w:divBdr>
                                              <w:divsChild>
                                                <w:div w:id="1113013205">
                                                  <w:marLeft w:val="0"/>
                                                  <w:marRight w:val="0"/>
                                                  <w:marTop w:val="0"/>
                                                  <w:marBottom w:val="0"/>
                                                  <w:divBdr>
                                                    <w:top w:val="none" w:sz="0" w:space="0" w:color="auto"/>
                                                    <w:left w:val="none" w:sz="0" w:space="0" w:color="auto"/>
                                                    <w:bottom w:val="none" w:sz="0" w:space="0" w:color="auto"/>
                                                    <w:right w:val="none" w:sz="0" w:space="0" w:color="auto"/>
                                                  </w:divBdr>
                                                  <w:divsChild>
                                                    <w:div w:id="1026173516">
                                                      <w:marLeft w:val="0"/>
                                                      <w:marRight w:val="0"/>
                                                      <w:marTop w:val="0"/>
                                                      <w:marBottom w:val="0"/>
                                                      <w:divBdr>
                                                        <w:top w:val="none" w:sz="0" w:space="0" w:color="auto"/>
                                                        <w:left w:val="none" w:sz="0" w:space="0" w:color="auto"/>
                                                        <w:bottom w:val="none" w:sz="0" w:space="0" w:color="auto"/>
                                                        <w:right w:val="none" w:sz="0" w:space="0" w:color="auto"/>
                                                      </w:divBdr>
                                                      <w:divsChild>
                                                        <w:div w:id="87579429">
                                                          <w:marLeft w:val="0"/>
                                                          <w:marRight w:val="0"/>
                                                          <w:marTop w:val="0"/>
                                                          <w:marBottom w:val="0"/>
                                                          <w:divBdr>
                                                            <w:top w:val="none" w:sz="0" w:space="0" w:color="auto"/>
                                                            <w:left w:val="none" w:sz="0" w:space="0" w:color="auto"/>
                                                            <w:bottom w:val="none" w:sz="0" w:space="0" w:color="auto"/>
                                                            <w:right w:val="none" w:sz="0" w:space="0" w:color="auto"/>
                                                          </w:divBdr>
                                                          <w:divsChild>
                                                            <w:div w:id="1309553924">
                                                              <w:marLeft w:val="0"/>
                                                              <w:marRight w:val="0"/>
                                                              <w:marTop w:val="0"/>
                                                              <w:marBottom w:val="0"/>
                                                              <w:divBdr>
                                                                <w:top w:val="none" w:sz="0" w:space="0" w:color="auto"/>
                                                                <w:left w:val="none" w:sz="0" w:space="0" w:color="auto"/>
                                                                <w:bottom w:val="none" w:sz="0" w:space="0" w:color="auto"/>
                                                                <w:right w:val="none" w:sz="0" w:space="0" w:color="auto"/>
                                                              </w:divBdr>
                                                              <w:divsChild>
                                                                <w:div w:id="2018726723">
                                                                  <w:marLeft w:val="0"/>
                                                                  <w:marRight w:val="0"/>
                                                                  <w:marTop w:val="0"/>
                                                                  <w:marBottom w:val="0"/>
                                                                  <w:divBdr>
                                                                    <w:top w:val="none" w:sz="0" w:space="0" w:color="auto"/>
                                                                    <w:left w:val="none" w:sz="0" w:space="0" w:color="auto"/>
                                                                    <w:bottom w:val="none" w:sz="0" w:space="0" w:color="auto"/>
                                                                    <w:right w:val="none" w:sz="0" w:space="0" w:color="auto"/>
                                                                  </w:divBdr>
                                                                  <w:divsChild>
                                                                    <w:div w:id="301079433">
                                                                      <w:marLeft w:val="0"/>
                                                                      <w:marRight w:val="0"/>
                                                                      <w:marTop w:val="0"/>
                                                                      <w:marBottom w:val="0"/>
                                                                      <w:divBdr>
                                                                        <w:top w:val="none" w:sz="0" w:space="0" w:color="auto"/>
                                                                        <w:left w:val="none" w:sz="0" w:space="0" w:color="auto"/>
                                                                        <w:bottom w:val="none" w:sz="0" w:space="0" w:color="auto"/>
                                                                        <w:right w:val="none" w:sz="0" w:space="0" w:color="auto"/>
                                                                      </w:divBdr>
                                                                      <w:divsChild>
                                                                        <w:div w:id="129559530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06357403">
          <w:marLeft w:val="0"/>
          <w:marRight w:val="0"/>
          <w:marTop w:val="0"/>
          <w:marBottom w:val="0"/>
          <w:divBdr>
            <w:top w:val="none" w:sz="0" w:space="0" w:color="auto"/>
            <w:left w:val="none" w:sz="0" w:space="0" w:color="auto"/>
            <w:bottom w:val="none" w:sz="0" w:space="0" w:color="auto"/>
            <w:right w:val="none" w:sz="0" w:space="0" w:color="auto"/>
          </w:divBdr>
          <w:divsChild>
            <w:div w:id="1283535257">
              <w:marLeft w:val="0"/>
              <w:marRight w:val="0"/>
              <w:marTop w:val="0"/>
              <w:marBottom w:val="0"/>
              <w:divBdr>
                <w:top w:val="none" w:sz="0" w:space="0" w:color="auto"/>
                <w:left w:val="none" w:sz="0" w:space="0" w:color="auto"/>
                <w:bottom w:val="none" w:sz="0" w:space="0" w:color="auto"/>
                <w:right w:val="none" w:sz="0" w:space="0" w:color="auto"/>
              </w:divBdr>
              <w:divsChild>
                <w:div w:id="53623334">
                  <w:marLeft w:val="0"/>
                  <w:marRight w:val="0"/>
                  <w:marTop w:val="0"/>
                  <w:marBottom w:val="0"/>
                  <w:divBdr>
                    <w:top w:val="none" w:sz="0" w:space="0" w:color="auto"/>
                    <w:left w:val="none" w:sz="0" w:space="0" w:color="auto"/>
                    <w:bottom w:val="none" w:sz="0" w:space="0" w:color="auto"/>
                    <w:right w:val="none" w:sz="0" w:space="0" w:color="auto"/>
                  </w:divBdr>
                  <w:divsChild>
                    <w:div w:id="1318459067">
                      <w:marLeft w:val="0"/>
                      <w:marRight w:val="0"/>
                      <w:marTop w:val="0"/>
                      <w:marBottom w:val="0"/>
                      <w:divBdr>
                        <w:top w:val="none" w:sz="0" w:space="0" w:color="auto"/>
                        <w:left w:val="none" w:sz="0" w:space="0" w:color="auto"/>
                        <w:bottom w:val="none" w:sz="0" w:space="0" w:color="auto"/>
                        <w:right w:val="none" w:sz="0" w:space="0" w:color="auto"/>
                      </w:divBdr>
                      <w:divsChild>
                        <w:div w:id="582842272">
                          <w:marLeft w:val="0"/>
                          <w:marRight w:val="0"/>
                          <w:marTop w:val="0"/>
                          <w:marBottom w:val="0"/>
                          <w:divBdr>
                            <w:top w:val="none" w:sz="0" w:space="0" w:color="auto"/>
                            <w:left w:val="none" w:sz="0" w:space="0" w:color="auto"/>
                            <w:bottom w:val="none" w:sz="0" w:space="0" w:color="auto"/>
                            <w:right w:val="none" w:sz="0" w:space="0" w:color="auto"/>
                          </w:divBdr>
                          <w:divsChild>
                            <w:div w:id="1572622012">
                              <w:marLeft w:val="0"/>
                              <w:marRight w:val="0"/>
                              <w:marTop w:val="0"/>
                              <w:marBottom w:val="0"/>
                              <w:divBdr>
                                <w:top w:val="none" w:sz="0" w:space="0" w:color="auto"/>
                                <w:left w:val="none" w:sz="0" w:space="0" w:color="auto"/>
                                <w:bottom w:val="none" w:sz="0" w:space="0" w:color="auto"/>
                                <w:right w:val="none" w:sz="0" w:space="0" w:color="auto"/>
                              </w:divBdr>
                              <w:divsChild>
                                <w:div w:id="1121338202">
                                  <w:marLeft w:val="0"/>
                                  <w:marRight w:val="0"/>
                                  <w:marTop w:val="0"/>
                                  <w:marBottom w:val="0"/>
                                  <w:divBdr>
                                    <w:top w:val="none" w:sz="0" w:space="0" w:color="auto"/>
                                    <w:left w:val="none" w:sz="0" w:space="0" w:color="auto"/>
                                    <w:bottom w:val="none" w:sz="0" w:space="0" w:color="auto"/>
                                    <w:right w:val="none" w:sz="0" w:space="0" w:color="auto"/>
                                  </w:divBdr>
                                  <w:divsChild>
                                    <w:div w:id="8871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5982382">
          <w:marLeft w:val="0"/>
          <w:marRight w:val="0"/>
          <w:marTop w:val="0"/>
          <w:marBottom w:val="0"/>
          <w:divBdr>
            <w:top w:val="none" w:sz="0" w:space="0" w:color="auto"/>
            <w:left w:val="none" w:sz="0" w:space="0" w:color="auto"/>
            <w:bottom w:val="none" w:sz="0" w:space="0" w:color="auto"/>
            <w:right w:val="none" w:sz="0" w:space="0" w:color="auto"/>
          </w:divBdr>
          <w:divsChild>
            <w:div w:id="2015180949">
              <w:marLeft w:val="0"/>
              <w:marRight w:val="0"/>
              <w:marTop w:val="0"/>
              <w:marBottom w:val="0"/>
              <w:divBdr>
                <w:top w:val="none" w:sz="0" w:space="0" w:color="auto"/>
                <w:left w:val="none" w:sz="0" w:space="0" w:color="auto"/>
                <w:bottom w:val="none" w:sz="0" w:space="0" w:color="auto"/>
                <w:right w:val="none" w:sz="0" w:space="0" w:color="auto"/>
              </w:divBdr>
              <w:divsChild>
                <w:div w:id="1306008441">
                  <w:marLeft w:val="0"/>
                  <w:marRight w:val="0"/>
                  <w:marTop w:val="0"/>
                  <w:marBottom w:val="0"/>
                  <w:divBdr>
                    <w:top w:val="none" w:sz="0" w:space="0" w:color="auto"/>
                    <w:left w:val="none" w:sz="0" w:space="0" w:color="auto"/>
                    <w:bottom w:val="none" w:sz="0" w:space="0" w:color="auto"/>
                    <w:right w:val="none" w:sz="0" w:space="0" w:color="auto"/>
                  </w:divBdr>
                  <w:divsChild>
                    <w:div w:id="1573157091">
                      <w:marLeft w:val="0"/>
                      <w:marRight w:val="0"/>
                      <w:marTop w:val="0"/>
                      <w:marBottom w:val="0"/>
                      <w:divBdr>
                        <w:top w:val="none" w:sz="0" w:space="0" w:color="auto"/>
                        <w:left w:val="none" w:sz="0" w:space="0" w:color="auto"/>
                        <w:bottom w:val="none" w:sz="0" w:space="0" w:color="auto"/>
                        <w:right w:val="none" w:sz="0" w:space="0" w:color="auto"/>
                      </w:divBdr>
                      <w:divsChild>
                        <w:div w:id="852650544">
                          <w:marLeft w:val="0"/>
                          <w:marRight w:val="0"/>
                          <w:marTop w:val="0"/>
                          <w:marBottom w:val="0"/>
                          <w:divBdr>
                            <w:top w:val="none" w:sz="0" w:space="0" w:color="auto"/>
                            <w:left w:val="none" w:sz="0" w:space="0" w:color="auto"/>
                            <w:bottom w:val="none" w:sz="0" w:space="0" w:color="auto"/>
                            <w:right w:val="none" w:sz="0" w:space="0" w:color="auto"/>
                          </w:divBdr>
                          <w:divsChild>
                            <w:div w:id="1590774474">
                              <w:marLeft w:val="0"/>
                              <w:marRight w:val="0"/>
                              <w:marTop w:val="0"/>
                              <w:marBottom w:val="0"/>
                              <w:divBdr>
                                <w:top w:val="none" w:sz="0" w:space="0" w:color="auto"/>
                                <w:left w:val="none" w:sz="0" w:space="0" w:color="auto"/>
                                <w:bottom w:val="none" w:sz="0" w:space="0" w:color="auto"/>
                                <w:right w:val="none" w:sz="0" w:space="0" w:color="auto"/>
                              </w:divBdr>
                              <w:divsChild>
                                <w:div w:id="807162838">
                                  <w:marLeft w:val="0"/>
                                  <w:marRight w:val="0"/>
                                  <w:marTop w:val="0"/>
                                  <w:marBottom w:val="0"/>
                                  <w:divBdr>
                                    <w:top w:val="none" w:sz="0" w:space="0" w:color="auto"/>
                                    <w:left w:val="none" w:sz="0" w:space="0" w:color="auto"/>
                                    <w:bottom w:val="none" w:sz="0" w:space="0" w:color="auto"/>
                                    <w:right w:val="none" w:sz="0" w:space="0" w:color="auto"/>
                                  </w:divBdr>
                                  <w:divsChild>
                                    <w:div w:id="1785611910">
                                      <w:marLeft w:val="0"/>
                                      <w:marRight w:val="0"/>
                                      <w:marTop w:val="0"/>
                                      <w:marBottom w:val="0"/>
                                      <w:divBdr>
                                        <w:top w:val="none" w:sz="0" w:space="0" w:color="auto"/>
                                        <w:left w:val="none" w:sz="0" w:space="0" w:color="auto"/>
                                        <w:bottom w:val="none" w:sz="0" w:space="0" w:color="auto"/>
                                        <w:right w:val="none" w:sz="0" w:space="0" w:color="auto"/>
                                      </w:divBdr>
                                      <w:divsChild>
                                        <w:div w:id="2083721186">
                                          <w:marLeft w:val="0"/>
                                          <w:marRight w:val="0"/>
                                          <w:marTop w:val="0"/>
                                          <w:marBottom w:val="0"/>
                                          <w:divBdr>
                                            <w:top w:val="none" w:sz="0" w:space="0" w:color="auto"/>
                                            <w:left w:val="none" w:sz="0" w:space="0" w:color="auto"/>
                                            <w:bottom w:val="none" w:sz="0" w:space="0" w:color="auto"/>
                                            <w:right w:val="none" w:sz="0" w:space="0" w:color="auto"/>
                                          </w:divBdr>
                                          <w:divsChild>
                                            <w:div w:id="1572038783">
                                              <w:marLeft w:val="0"/>
                                              <w:marRight w:val="0"/>
                                              <w:marTop w:val="0"/>
                                              <w:marBottom w:val="0"/>
                                              <w:divBdr>
                                                <w:top w:val="none" w:sz="0" w:space="0" w:color="auto"/>
                                                <w:left w:val="none" w:sz="0" w:space="0" w:color="auto"/>
                                                <w:bottom w:val="none" w:sz="0" w:space="0" w:color="auto"/>
                                                <w:right w:val="none" w:sz="0" w:space="0" w:color="auto"/>
                                              </w:divBdr>
                                              <w:divsChild>
                                                <w:div w:id="1437367911">
                                                  <w:marLeft w:val="0"/>
                                                  <w:marRight w:val="0"/>
                                                  <w:marTop w:val="0"/>
                                                  <w:marBottom w:val="0"/>
                                                  <w:divBdr>
                                                    <w:top w:val="none" w:sz="0" w:space="0" w:color="auto"/>
                                                    <w:left w:val="none" w:sz="0" w:space="0" w:color="auto"/>
                                                    <w:bottom w:val="none" w:sz="0" w:space="0" w:color="auto"/>
                                                    <w:right w:val="none" w:sz="0" w:space="0" w:color="auto"/>
                                                  </w:divBdr>
                                                  <w:divsChild>
                                                    <w:div w:id="1943026774">
                                                      <w:marLeft w:val="0"/>
                                                      <w:marRight w:val="0"/>
                                                      <w:marTop w:val="0"/>
                                                      <w:marBottom w:val="0"/>
                                                      <w:divBdr>
                                                        <w:top w:val="none" w:sz="0" w:space="0" w:color="auto"/>
                                                        <w:left w:val="none" w:sz="0" w:space="0" w:color="auto"/>
                                                        <w:bottom w:val="none" w:sz="0" w:space="0" w:color="auto"/>
                                                        <w:right w:val="none" w:sz="0" w:space="0" w:color="auto"/>
                                                      </w:divBdr>
                                                      <w:divsChild>
                                                        <w:div w:id="1648165441">
                                                          <w:marLeft w:val="0"/>
                                                          <w:marRight w:val="0"/>
                                                          <w:marTop w:val="0"/>
                                                          <w:marBottom w:val="0"/>
                                                          <w:divBdr>
                                                            <w:top w:val="none" w:sz="0" w:space="0" w:color="auto"/>
                                                            <w:left w:val="none" w:sz="0" w:space="0" w:color="auto"/>
                                                            <w:bottom w:val="none" w:sz="0" w:space="0" w:color="auto"/>
                                                            <w:right w:val="none" w:sz="0" w:space="0" w:color="auto"/>
                                                          </w:divBdr>
                                                          <w:divsChild>
                                                            <w:div w:id="312371593">
                                                              <w:marLeft w:val="0"/>
                                                              <w:marRight w:val="0"/>
                                                              <w:marTop w:val="0"/>
                                                              <w:marBottom w:val="0"/>
                                                              <w:divBdr>
                                                                <w:top w:val="none" w:sz="0" w:space="0" w:color="auto"/>
                                                                <w:left w:val="none" w:sz="0" w:space="0" w:color="auto"/>
                                                                <w:bottom w:val="none" w:sz="0" w:space="0" w:color="auto"/>
                                                                <w:right w:val="none" w:sz="0" w:space="0" w:color="auto"/>
                                                              </w:divBdr>
                                                              <w:divsChild>
                                                                <w:div w:id="932318783">
                                                                  <w:marLeft w:val="0"/>
                                                                  <w:marRight w:val="0"/>
                                                                  <w:marTop w:val="0"/>
                                                                  <w:marBottom w:val="0"/>
                                                                  <w:divBdr>
                                                                    <w:top w:val="none" w:sz="0" w:space="0" w:color="auto"/>
                                                                    <w:left w:val="none" w:sz="0" w:space="0" w:color="auto"/>
                                                                    <w:bottom w:val="none" w:sz="0" w:space="0" w:color="auto"/>
                                                                    <w:right w:val="none" w:sz="0" w:space="0" w:color="auto"/>
                                                                  </w:divBdr>
                                                                  <w:divsChild>
                                                                    <w:div w:id="695347291">
                                                                      <w:marLeft w:val="0"/>
                                                                      <w:marRight w:val="0"/>
                                                                      <w:marTop w:val="0"/>
                                                                      <w:marBottom w:val="0"/>
                                                                      <w:divBdr>
                                                                        <w:top w:val="none" w:sz="0" w:space="0" w:color="auto"/>
                                                                        <w:left w:val="none" w:sz="0" w:space="0" w:color="auto"/>
                                                                        <w:bottom w:val="none" w:sz="0" w:space="0" w:color="auto"/>
                                                                        <w:right w:val="none" w:sz="0" w:space="0" w:color="auto"/>
                                                                      </w:divBdr>
                                                                      <w:divsChild>
                                                                        <w:div w:id="369065570">
                                                                          <w:marLeft w:val="0"/>
                                                                          <w:marRight w:val="0"/>
                                                                          <w:marTop w:val="0"/>
                                                                          <w:marBottom w:val="0"/>
                                                                          <w:divBdr>
                                                                            <w:top w:val="none" w:sz="0" w:space="0" w:color="auto"/>
                                                                            <w:left w:val="none" w:sz="0" w:space="0" w:color="auto"/>
                                                                            <w:bottom w:val="none" w:sz="0" w:space="0" w:color="auto"/>
                                                                            <w:right w:val="none" w:sz="0" w:space="0" w:color="auto"/>
                                                                          </w:divBdr>
                                                                          <w:divsChild>
                                                                            <w:div w:id="193007077">
                                                                              <w:marLeft w:val="-13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647131">
                                                              <w:marLeft w:val="0"/>
                                                              <w:marRight w:val="0"/>
                                                              <w:marTop w:val="0"/>
                                                              <w:marBottom w:val="0"/>
                                                              <w:divBdr>
                                                                <w:top w:val="none" w:sz="0" w:space="0" w:color="auto"/>
                                                                <w:left w:val="none" w:sz="0" w:space="0" w:color="auto"/>
                                                                <w:bottom w:val="none" w:sz="0" w:space="0" w:color="auto"/>
                                                                <w:right w:val="none" w:sz="0" w:space="0" w:color="auto"/>
                                                              </w:divBdr>
                                                              <w:divsChild>
                                                                <w:div w:id="1956935706">
                                                                  <w:marLeft w:val="0"/>
                                                                  <w:marRight w:val="0"/>
                                                                  <w:marTop w:val="0"/>
                                                                  <w:marBottom w:val="0"/>
                                                                  <w:divBdr>
                                                                    <w:top w:val="none" w:sz="0" w:space="0" w:color="auto"/>
                                                                    <w:left w:val="none" w:sz="0" w:space="0" w:color="auto"/>
                                                                    <w:bottom w:val="none" w:sz="0" w:space="0" w:color="auto"/>
                                                                    <w:right w:val="none" w:sz="0" w:space="0" w:color="auto"/>
                                                                  </w:divBdr>
                                                                  <w:divsChild>
                                                                    <w:div w:id="1679112235">
                                                                      <w:marLeft w:val="0"/>
                                                                      <w:marRight w:val="0"/>
                                                                      <w:marTop w:val="0"/>
                                                                      <w:marBottom w:val="0"/>
                                                                      <w:divBdr>
                                                                        <w:top w:val="none" w:sz="0" w:space="0" w:color="auto"/>
                                                                        <w:left w:val="none" w:sz="0" w:space="0" w:color="auto"/>
                                                                        <w:bottom w:val="none" w:sz="0" w:space="0" w:color="auto"/>
                                                                        <w:right w:val="none" w:sz="0" w:space="0" w:color="auto"/>
                                                                      </w:divBdr>
                                                                      <w:divsChild>
                                                                        <w:div w:id="840123316">
                                                                          <w:marLeft w:val="0"/>
                                                                          <w:marRight w:val="0"/>
                                                                          <w:marTop w:val="0"/>
                                                                          <w:marBottom w:val="0"/>
                                                                          <w:divBdr>
                                                                            <w:top w:val="none" w:sz="0" w:space="0" w:color="auto"/>
                                                                            <w:left w:val="none" w:sz="0" w:space="0" w:color="auto"/>
                                                                            <w:bottom w:val="none" w:sz="0" w:space="0" w:color="auto"/>
                                                                            <w:right w:val="none" w:sz="0" w:space="0" w:color="auto"/>
                                                                          </w:divBdr>
                                                                          <w:divsChild>
                                                                            <w:div w:id="549612279">
                                                                              <w:marLeft w:val="0"/>
                                                                              <w:marRight w:val="0"/>
                                                                              <w:marTop w:val="45"/>
                                                                              <w:marBottom w:val="0"/>
                                                                              <w:divBdr>
                                                                                <w:top w:val="none" w:sz="0" w:space="0" w:color="auto"/>
                                                                                <w:left w:val="none" w:sz="0" w:space="0" w:color="auto"/>
                                                                                <w:bottom w:val="none" w:sz="0" w:space="0" w:color="auto"/>
                                                                                <w:right w:val="none" w:sz="0" w:space="0" w:color="auto"/>
                                                                              </w:divBdr>
                                                                              <w:divsChild>
                                                                                <w:div w:id="156070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2317023">
          <w:marLeft w:val="0"/>
          <w:marRight w:val="0"/>
          <w:marTop w:val="0"/>
          <w:marBottom w:val="0"/>
          <w:divBdr>
            <w:top w:val="none" w:sz="0" w:space="0" w:color="auto"/>
            <w:left w:val="none" w:sz="0" w:space="0" w:color="auto"/>
            <w:bottom w:val="none" w:sz="0" w:space="0" w:color="auto"/>
            <w:right w:val="none" w:sz="0" w:space="0" w:color="auto"/>
          </w:divBdr>
          <w:divsChild>
            <w:div w:id="509373525">
              <w:marLeft w:val="0"/>
              <w:marRight w:val="0"/>
              <w:marTop w:val="0"/>
              <w:marBottom w:val="0"/>
              <w:divBdr>
                <w:top w:val="none" w:sz="0" w:space="0" w:color="auto"/>
                <w:left w:val="none" w:sz="0" w:space="0" w:color="auto"/>
                <w:bottom w:val="none" w:sz="0" w:space="0" w:color="auto"/>
                <w:right w:val="none" w:sz="0" w:space="0" w:color="auto"/>
              </w:divBdr>
              <w:divsChild>
                <w:div w:id="235089680">
                  <w:marLeft w:val="0"/>
                  <w:marRight w:val="0"/>
                  <w:marTop w:val="0"/>
                  <w:marBottom w:val="0"/>
                  <w:divBdr>
                    <w:top w:val="none" w:sz="0" w:space="0" w:color="auto"/>
                    <w:left w:val="none" w:sz="0" w:space="0" w:color="auto"/>
                    <w:bottom w:val="none" w:sz="0" w:space="0" w:color="auto"/>
                    <w:right w:val="none" w:sz="0" w:space="0" w:color="auto"/>
                  </w:divBdr>
                  <w:divsChild>
                    <w:div w:id="1743527561">
                      <w:marLeft w:val="0"/>
                      <w:marRight w:val="0"/>
                      <w:marTop w:val="0"/>
                      <w:marBottom w:val="0"/>
                      <w:divBdr>
                        <w:top w:val="none" w:sz="0" w:space="0" w:color="auto"/>
                        <w:left w:val="none" w:sz="0" w:space="0" w:color="auto"/>
                        <w:bottom w:val="none" w:sz="0" w:space="0" w:color="auto"/>
                        <w:right w:val="none" w:sz="0" w:space="0" w:color="auto"/>
                      </w:divBdr>
                      <w:divsChild>
                        <w:div w:id="306400661">
                          <w:marLeft w:val="0"/>
                          <w:marRight w:val="0"/>
                          <w:marTop w:val="0"/>
                          <w:marBottom w:val="0"/>
                          <w:divBdr>
                            <w:top w:val="none" w:sz="0" w:space="0" w:color="auto"/>
                            <w:left w:val="none" w:sz="0" w:space="0" w:color="auto"/>
                            <w:bottom w:val="none" w:sz="0" w:space="0" w:color="auto"/>
                            <w:right w:val="none" w:sz="0" w:space="0" w:color="auto"/>
                          </w:divBdr>
                          <w:divsChild>
                            <w:div w:id="1382750280">
                              <w:marLeft w:val="0"/>
                              <w:marRight w:val="0"/>
                              <w:marTop w:val="0"/>
                              <w:marBottom w:val="0"/>
                              <w:divBdr>
                                <w:top w:val="none" w:sz="0" w:space="0" w:color="auto"/>
                                <w:left w:val="none" w:sz="0" w:space="0" w:color="auto"/>
                                <w:bottom w:val="none" w:sz="0" w:space="0" w:color="auto"/>
                                <w:right w:val="none" w:sz="0" w:space="0" w:color="auto"/>
                              </w:divBdr>
                              <w:divsChild>
                                <w:div w:id="927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220933">
          <w:marLeft w:val="0"/>
          <w:marRight w:val="0"/>
          <w:marTop w:val="0"/>
          <w:marBottom w:val="0"/>
          <w:divBdr>
            <w:top w:val="none" w:sz="0" w:space="0" w:color="auto"/>
            <w:left w:val="none" w:sz="0" w:space="0" w:color="auto"/>
            <w:bottom w:val="none" w:sz="0" w:space="0" w:color="auto"/>
            <w:right w:val="none" w:sz="0" w:space="0" w:color="auto"/>
          </w:divBdr>
          <w:divsChild>
            <w:div w:id="71858497">
              <w:marLeft w:val="0"/>
              <w:marRight w:val="0"/>
              <w:marTop w:val="0"/>
              <w:marBottom w:val="0"/>
              <w:divBdr>
                <w:top w:val="none" w:sz="0" w:space="0" w:color="auto"/>
                <w:left w:val="none" w:sz="0" w:space="0" w:color="auto"/>
                <w:bottom w:val="none" w:sz="0" w:space="0" w:color="auto"/>
                <w:right w:val="none" w:sz="0" w:space="0" w:color="auto"/>
              </w:divBdr>
              <w:divsChild>
                <w:div w:id="649559366">
                  <w:marLeft w:val="0"/>
                  <w:marRight w:val="0"/>
                  <w:marTop w:val="0"/>
                  <w:marBottom w:val="0"/>
                  <w:divBdr>
                    <w:top w:val="none" w:sz="0" w:space="0" w:color="auto"/>
                    <w:left w:val="none" w:sz="0" w:space="0" w:color="auto"/>
                    <w:bottom w:val="none" w:sz="0" w:space="0" w:color="auto"/>
                    <w:right w:val="none" w:sz="0" w:space="0" w:color="auto"/>
                  </w:divBdr>
                  <w:divsChild>
                    <w:div w:id="2035570158">
                      <w:marLeft w:val="0"/>
                      <w:marRight w:val="0"/>
                      <w:marTop w:val="0"/>
                      <w:marBottom w:val="0"/>
                      <w:divBdr>
                        <w:top w:val="none" w:sz="0" w:space="0" w:color="auto"/>
                        <w:left w:val="none" w:sz="0" w:space="0" w:color="auto"/>
                        <w:bottom w:val="none" w:sz="0" w:space="0" w:color="auto"/>
                        <w:right w:val="none" w:sz="0" w:space="0" w:color="auto"/>
                      </w:divBdr>
                      <w:divsChild>
                        <w:div w:id="1960717972">
                          <w:marLeft w:val="0"/>
                          <w:marRight w:val="0"/>
                          <w:marTop w:val="0"/>
                          <w:marBottom w:val="0"/>
                          <w:divBdr>
                            <w:top w:val="none" w:sz="0" w:space="0" w:color="auto"/>
                            <w:left w:val="none" w:sz="0" w:space="0" w:color="auto"/>
                            <w:bottom w:val="none" w:sz="0" w:space="0" w:color="auto"/>
                            <w:right w:val="none" w:sz="0" w:space="0" w:color="auto"/>
                          </w:divBdr>
                          <w:divsChild>
                            <w:div w:id="1436168962">
                              <w:marLeft w:val="0"/>
                              <w:marRight w:val="0"/>
                              <w:marTop w:val="0"/>
                              <w:marBottom w:val="0"/>
                              <w:divBdr>
                                <w:top w:val="none" w:sz="0" w:space="0" w:color="auto"/>
                                <w:left w:val="none" w:sz="0" w:space="0" w:color="auto"/>
                                <w:bottom w:val="none" w:sz="0" w:space="0" w:color="auto"/>
                                <w:right w:val="none" w:sz="0" w:space="0" w:color="auto"/>
                              </w:divBdr>
                              <w:divsChild>
                                <w:div w:id="199290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rspektif.online/milletlerarasi-andlasmalardan-cekilme-yetkisi/" TargetMode="External"/><Relationship Id="rId5" Type="http://schemas.openxmlformats.org/officeDocument/2006/relationships/hyperlink" Target="https://www.perspektif.online/author/ergun-ozbudun/"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798</Words>
  <Characters>6177</Characters>
  <Application>Microsoft Office Word</Application>
  <DocSecurity>0</DocSecurity>
  <Lines>116</Lines>
  <Paragraphs>36</Paragraphs>
  <ScaleCrop>false</ScaleCrop>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Gokcecicek Ayata</dc:creator>
  <cp:keywords/>
  <dc:description/>
  <cp:lastModifiedBy>Gokcecicek Ayata</cp:lastModifiedBy>
  <cp:revision>2</cp:revision>
  <dcterms:created xsi:type="dcterms:W3CDTF">2022-08-18T14:28:00Z</dcterms:created>
  <dcterms:modified xsi:type="dcterms:W3CDTF">2022-08-19T13:28:00Z</dcterms:modified>
</cp:coreProperties>
</file>